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A5BFD" w:rsidRDefault="00000000">
      <w:pPr>
        <w:spacing w:after="80"/>
        <w:jc w:val="center"/>
        <w:rPr>
          <w:rFonts w:ascii="Times New Roman" w:eastAsia="Times New Roman" w:hAnsi="Times New Roman" w:cs="Times New Roman"/>
          <w:b/>
          <w:bCs/>
          <w:color w:val="1F4E79"/>
          <w:sz w:val="24"/>
          <w:szCs w:val="24"/>
        </w:rPr>
      </w:pPr>
      <w:r>
        <w:rPr>
          <w:rFonts w:ascii="Times New Roman" w:eastAsia="Times New Roman" w:hAnsi="Times New Roman" w:cs="Times New Roman"/>
          <w:b/>
          <w:bCs/>
          <w:color w:val="1F4E79"/>
          <w:sz w:val="24"/>
          <w:szCs w:val="24"/>
        </w:rPr>
        <w:t>CDSCO Health Innovation Acceleration Hackathon: FAQs</w:t>
      </w:r>
    </w:p>
    <w:p w:rsidR="004A5BFD" w:rsidRDefault="004A5BFD">
      <w:pPr>
        <w:rPr>
          <w:rFonts w:ascii="Times New Roman" w:eastAsia="Times New Roman" w:hAnsi="Times New Roman" w:cs="Times New Roman"/>
          <w:b/>
          <w:bCs/>
          <w:color w:val="1F4E79"/>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it permissible to develop the solution from a consumer-centric perspective?</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Solutions must be designed from a regulatory perspective; the primary objective is to enhance regulator efficiency, which subsequently benefits the patient.</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Are applicants permitted to focus exclusively on specific use cases?</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While addressing all six use cases as a comprehensive module is the preferred approach, focused submissions targeting individual problem statements are acceptable during this initial phase.</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a separate report required for each use case during Stage 1?</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Each use case has a specific, predefined output format to which all solutions must strictly adhere.</w:t>
      </w:r>
    </w:p>
    <w:p w:rsidR="004A5BFD" w:rsidRDefault="004A5BFD">
      <w:pPr>
        <w:jc w:val="both"/>
        <w:rPr>
          <w:rFonts w:ascii="Times New Roman" w:eastAsia="Times New Roman" w:hAnsi="Times New Roman" w:cs="Times New Roman"/>
          <w:b/>
          <w:bCs/>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Which infrastructure will the solution be hosted on?</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Solutions must be hosted on CDAC servers, specifically the CDAC Data </w:t>
      </w:r>
      <w:proofErr w:type="spellStart"/>
      <w:r>
        <w:rPr>
          <w:rFonts w:ascii="Times New Roman" w:eastAsia="Times New Roman" w:hAnsi="Times New Roman" w:cs="Times New Roman"/>
          <w:sz w:val="24"/>
          <w:szCs w:val="24"/>
        </w:rPr>
        <w:t>Center</w:t>
      </w:r>
      <w:proofErr w:type="spellEnd"/>
      <w:r w:rsidR="00177900">
        <w:rPr>
          <w:rFonts w:ascii="Times New Roman" w:eastAsia="Times New Roman" w:hAnsi="Times New Roman" w:cs="Times New Roman"/>
          <w:sz w:val="24"/>
          <w:szCs w:val="24"/>
        </w:rPr>
        <w:t xml:space="preserve"> </w:t>
      </w:r>
      <w:proofErr w:type="spellStart"/>
      <w:r w:rsidR="009F2BF9">
        <w:rPr>
          <w:rFonts w:ascii="Times New Roman" w:eastAsia="Times New Roman" w:hAnsi="Times New Roman" w:cs="Times New Roman"/>
          <w:sz w:val="24"/>
          <w:szCs w:val="24"/>
        </w:rPr>
        <w:t>Airawat</w:t>
      </w:r>
      <w:proofErr w:type="spellEnd"/>
      <w:r>
        <w:rPr>
          <w:rFonts w:ascii="Times New Roman" w:eastAsia="Times New Roman" w:hAnsi="Times New Roman" w:cs="Times New Roman"/>
          <w:sz w:val="24"/>
          <w:szCs w:val="24"/>
        </w:rPr>
        <w:t xml:space="preserve"> </w:t>
      </w:r>
      <w:r w:rsidR="009F2BF9">
        <w:rPr>
          <w:rFonts w:ascii="Times New Roman" w:eastAsia="Times New Roman" w:hAnsi="Times New Roman" w:cs="Times New Roman"/>
          <w:sz w:val="24"/>
          <w:szCs w:val="24"/>
        </w:rPr>
        <w:t>located</w:t>
      </w:r>
      <w:r>
        <w:rPr>
          <w:rFonts w:ascii="Times New Roman" w:eastAsia="Times New Roman" w:hAnsi="Times New Roman" w:cs="Times New Roman"/>
          <w:sz w:val="24"/>
          <w:szCs w:val="24"/>
        </w:rPr>
        <w:t xml:space="preserve"> at CDAC Pune.</w:t>
      </w:r>
    </w:p>
    <w:p w:rsidR="004A5BFD" w:rsidRDefault="004A5BFD">
      <w:pPr>
        <w:jc w:val="both"/>
        <w:rPr>
          <w:rFonts w:ascii="Times New Roman" w:eastAsia="Times New Roman" w:hAnsi="Times New Roman" w:cs="Times New Roman"/>
          <w:b/>
          <w:bCs/>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Are the templates required for verification available to the public?</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Yes. All necessary checklist items, forms, and documentation requirements are accessible via the Sugam portal.</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does the submission deadline relate to the 45-day timeline?</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date for submission is May 10, 2026. The 5-day on-premises hackathon (Stage 2) is a separate phase that follows the conclusion of the 45-day build period.</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specific elements should be included in the demonstration video?</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demonstration must showcase the outputs for all six use cases in their respective predefined formats.</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it permissible to use synthetic training data derived from research-exclusive datasets?</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are required to utilize only publicly available regulatory domain datasets</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Does the solution need to encompass drugs, cosmetics, and medical devices?</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solution is required to cover all three verticals as managed within the Sugam and Medical Device portals.</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Is the execution of a Non-Disclosure Agreement (NDA) mandatory?</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signed NDA is required prior to being granted access to restricted regulatory and applicant data.</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 model access be restricted to a specific ID rather than being hosted on a public GitHub repository?</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may add ‘indiaaihackathon25' as a collaborator on a private GitHub repository. Alternatively, source code may be submitted via email to </w:t>
      </w:r>
      <w:hyperlink r:id="rId8">
        <w:r>
          <w:rPr>
            <w:rFonts w:ascii="Times New Roman" w:eastAsia="Times New Roman" w:hAnsi="Times New Roman" w:cs="Times New Roman"/>
            <w:color w:val="267FE7"/>
            <w:sz w:val="24"/>
            <w:szCs w:val="24"/>
            <w:u w:val="single"/>
          </w:rPr>
          <w:t>fellow3.gpai-india@meity.gov.in</w:t>
        </w:r>
      </w:hyperlink>
      <w:r>
        <w:rPr>
          <w:rFonts w:ascii="Times New Roman" w:eastAsia="Times New Roman" w:hAnsi="Times New Roman" w:cs="Times New Roman"/>
          <w:color w:val="2A2A2A"/>
          <w:sz w:val="24"/>
          <w:szCs w:val="24"/>
          <w:highlight w:val="white"/>
        </w:rPr>
        <w:t xml:space="preserve"> using the subject line: "CDSCO-</w:t>
      </w:r>
      <w:proofErr w:type="spellStart"/>
      <w:r>
        <w:rPr>
          <w:rFonts w:ascii="Times New Roman" w:eastAsia="Times New Roman" w:hAnsi="Times New Roman" w:cs="Times New Roman"/>
          <w:color w:val="2A2A2A"/>
          <w:sz w:val="24"/>
          <w:szCs w:val="24"/>
          <w:highlight w:val="white"/>
        </w:rPr>
        <w:t>IndiaAI</w:t>
      </w:r>
      <w:proofErr w:type="spellEnd"/>
      <w:r>
        <w:rPr>
          <w:rFonts w:ascii="Times New Roman" w:eastAsia="Times New Roman" w:hAnsi="Times New Roman" w:cs="Times New Roman"/>
          <w:color w:val="2A2A2A"/>
          <w:sz w:val="24"/>
          <w:szCs w:val="24"/>
          <w:highlight w:val="white"/>
        </w:rPr>
        <w:t xml:space="preserve"> Health Innovation Acceleration Hackathon – Applicant Name - Source code."</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Will GPU server resources be provided for the duration of the hackathon?</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Access to CDAC Param Rudra at CDAC Pune will be provided during the Stage 2 on-premises round.</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What are the guidelines regarding the use of Indian versus foreign open-source AI models?</w:t>
      </w:r>
    </w:p>
    <w:p w:rsidR="004A5BFD" w:rsidRDefault="00000000">
      <w:pPr>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Participants are encouraged to use Indian open source models. If foreign models are utilized, they must be hosted locally to ensure the security and confidentiality of data.</w:t>
      </w:r>
    </w:p>
    <w:p w:rsidR="004A5BFD" w:rsidRDefault="004A5BFD">
      <w:pPr>
        <w:ind w:left="720"/>
        <w:jc w:val="both"/>
        <w:rPr>
          <w:rFonts w:ascii="Times New Roman" w:eastAsia="Times New Roman" w:hAnsi="Times New Roman" w:cs="Times New Roman"/>
          <w:sz w:val="24"/>
          <w:szCs w:val="24"/>
        </w:rPr>
      </w:pPr>
    </w:p>
    <w:p w:rsidR="004A5BFD" w:rsidRDefault="00000000">
      <w:pPr>
        <w:numPr>
          <w:ilvl w:val="0"/>
          <w:numId w:val="10"/>
        </w:numPr>
        <w:jc w:val="both"/>
        <w:rPr>
          <w:sz w:val="24"/>
          <w:szCs w:val="24"/>
        </w:rPr>
      </w:pPr>
      <w:r>
        <w:rPr>
          <w:rFonts w:ascii="Times New Roman" w:eastAsia="Times New Roman" w:hAnsi="Times New Roman" w:cs="Times New Roman"/>
          <w:b/>
          <w:bCs/>
          <w:sz w:val="24"/>
          <w:szCs w:val="24"/>
        </w:rPr>
        <w:t>Question:</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Where can one find the templates for the expected output formats?</w:t>
      </w:r>
    </w:p>
    <w:p w:rsidR="004A5BFD" w:rsidRPr="00CA5052" w:rsidRDefault="00CA5052" w:rsidP="00843D6E">
      <w:pPr>
        <w:pBdr>
          <w:top w:val="nil"/>
          <w:left w:val="nil"/>
          <w:bottom w:val="nil"/>
          <w:right w:val="nil"/>
          <w:between w:val="nil"/>
        </w:pBdr>
        <w:spacing w:before="60" w:after="60"/>
        <w:ind w:left="720"/>
        <w:rPr>
          <w:rFonts w:ascii="Times New Roman" w:eastAsia="Times New Roman" w:hAnsi="Times New Roman" w:cs="Times New Roman"/>
          <w:b/>
          <w:bCs/>
          <w:color w:val="4472C4"/>
          <w:sz w:val="24"/>
          <w:szCs w:val="24"/>
          <w:u w:val="single"/>
        </w:rPr>
      </w:pPr>
      <w:r w:rsidRPr="00CA5052">
        <w:rPr>
          <w:rFonts w:ascii="Times New Roman" w:hAnsi="Times New Roman" w:cs="Times New Roman"/>
          <w:color w:val="000000"/>
          <w:sz w:val="24"/>
          <w:szCs w:val="24"/>
          <w:shd w:val="clear" w:color="auto" w:fill="FFFFFF"/>
        </w:rPr>
        <w:t xml:space="preserve">Yes. All necessary checklist items, forms, and documentation requirements are accessible via the Sugam </w:t>
      </w:r>
      <w:r w:rsidRPr="00CA5052">
        <w:rPr>
          <w:rFonts w:ascii="Times New Roman" w:hAnsi="Times New Roman" w:cs="Times New Roman"/>
          <w:color w:val="000000" w:themeColor="text1"/>
          <w:sz w:val="24"/>
          <w:szCs w:val="24"/>
          <w:shd w:val="clear" w:color="auto" w:fill="FFFFFF"/>
        </w:rPr>
        <w:t>portal</w:t>
      </w:r>
      <w:r w:rsidRPr="00CA5052">
        <w:rPr>
          <w:rFonts w:ascii="Times New Roman" w:hAnsi="Times New Roman" w:cs="Times New Roman"/>
          <w:color w:val="000000" w:themeColor="text1"/>
          <w:sz w:val="24"/>
          <w:szCs w:val="24"/>
          <w:shd w:val="clear" w:color="auto" w:fill="FFFFFF"/>
        </w:rPr>
        <w:t xml:space="preserve">. </w:t>
      </w:r>
      <w:r w:rsidRPr="00CA5052">
        <w:rPr>
          <w:rStyle w:val="x654383865colour"/>
          <w:rFonts w:ascii="Times New Roman" w:hAnsi="Times New Roman" w:cs="Times New Roman"/>
          <w:color w:val="000000" w:themeColor="text1"/>
          <w:sz w:val="24"/>
          <w:szCs w:val="24"/>
        </w:rPr>
        <w:t>O</w:t>
      </w:r>
      <w:r w:rsidRPr="00CA5052">
        <w:rPr>
          <w:rStyle w:val="x654383865colour"/>
          <w:rFonts w:ascii="Times New Roman" w:hAnsi="Times New Roman" w:cs="Times New Roman"/>
          <w:color w:val="000000" w:themeColor="text1"/>
          <w:sz w:val="24"/>
          <w:szCs w:val="24"/>
        </w:rPr>
        <w:t xml:space="preserve">utput templates </w:t>
      </w:r>
      <w:r w:rsidRPr="00CA5052">
        <w:rPr>
          <w:rStyle w:val="x654383865colour"/>
          <w:rFonts w:ascii="Times New Roman" w:hAnsi="Times New Roman" w:cs="Times New Roman"/>
          <w:color w:val="000000" w:themeColor="text1"/>
          <w:sz w:val="24"/>
          <w:szCs w:val="24"/>
        </w:rPr>
        <w:t>are also attached in</w:t>
      </w:r>
      <w:r w:rsidRPr="00CA5052">
        <w:rPr>
          <w:rStyle w:val="x654383865colour"/>
          <w:rFonts w:ascii="Times New Roman" w:hAnsi="Times New Roman" w:cs="Times New Roman"/>
          <w:color w:val="000000" w:themeColor="text1"/>
          <w:sz w:val="24"/>
          <w:szCs w:val="24"/>
        </w:rPr>
        <w:t xml:space="preserve"> Annexure </w:t>
      </w:r>
      <w:r w:rsidRPr="00CA5052">
        <w:rPr>
          <w:rStyle w:val="x654383865colour"/>
          <w:rFonts w:ascii="Times New Roman" w:hAnsi="Times New Roman" w:cs="Times New Roman"/>
          <w:color w:val="000000" w:themeColor="text1"/>
          <w:sz w:val="24"/>
          <w:szCs w:val="24"/>
        </w:rPr>
        <w:t>–</w:t>
      </w:r>
      <w:r w:rsidRPr="00CA5052">
        <w:rPr>
          <w:rStyle w:val="x654383865colour"/>
          <w:rFonts w:ascii="Times New Roman" w:hAnsi="Times New Roman" w:cs="Times New Roman"/>
          <w:color w:val="000000" w:themeColor="text1"/>
          <w:sz w:val="24"/>
          <w:szCs w:val="24"/>
        </w:rPr>
        <w:t xml:space="preserve"> 1</w:t>
      </w:r>
      <w:r w:rsidRPr="00CA5052">
        <w:rPr>
          <w:rStyle w:val="x654383865colour"/>
          <w:rFonts w:ascii="Times New Roman" w:hAnsi="Times New Roman" w:cs="Times New Roman"/>
          <w:color w:val="000000" w:themeColor="text1"/>
          <w:sz w:val="24"/>
          <w:szCs w:val="24"/>
        </w:rPr>
        <w:t xml:space="preserve"> to this document. </w:t>
      </w:r>
      <w:r w:rsidRPr="00CA5052">
        <w:rPr>
          <w:rStyle w:val="x654383865colour"/>
          <w:rFonts w:ascii="Times New Roman" w:hAnsi="Times New Roman" w:cs="Times New Roman"/>
          <w:color w:val="000000" w:themeColor="text1"/>
          <w:sz w:val="24"/>
          <w:szCs w:val="24"/>
        </w:rPr>
        <w:t> </w:t>
      </w:r>
      <w:r w:rsidR="00000000" w:rsidRPr="00CA5052">
        <w:rPr>
          <w:rFonts w:ascii="Times New Roman" w:hAnsi="Times New Roman" w:cs="Times New Roman"/>
          <w:sz w:val="24"/>
          <w:szCs w:val="24"/>
        </w:rPr>
        <w:br w:type="page"/>
      </w:r>
    </w:p>
    <w:p w:rsidR="004A5BFD" w:rsidRDefault="00000000">
      <w:pPr>
        <w:pBdr>
          <w:top w:val="nil"/>
          <w:left w:val="nil"/>
          <w:bottom w:val="nil"/>
          <w:right w:val="nil"/>
          <w:between w:val="nil"/>
        </w:pBdr>
        <w:spacing w:before="60" w:after="60"/>
        <w:ind w:left="560"/>
        <w:jc w:val="center"/>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lastRenderedPageBreak/>
        <w:t xml:space="preserve">Annexure I: Output Formats </w:t>
      </w:r>
    </w:p>
    <w:p w:rsidR="004A5BFD" w:rsidRDefault="00000000">
      <w:pPr>
        <w:spacing w:before="260" w:after="120"/>
        <w:ind w:right="20"/>
        <w:jc w:val="both"/>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t>Use Case 1: AI-powered data anonymization tool (web or API-based)</w:t>
      </w:r>
    </w:p>
    <w:p w:rsidR="004A5BFD" w:rsidRDefault="00000000">
      <w:pPr>
        <w:spacing w:before="260" w:after="120"/>
        <w:ind w:right="20"/>
        <w:jc w:val="both"/>
        <w:rPr>
          <w:rFonts w:ascii="Times New Roman" w:eastAsia="Times New Roman" w:hAnsi="Times New Roman" w:cs="Times New Roman"/>
          <w:sz w:val="24"/>
          <w:szCs w:val="24"/>
        </w:rPr>
      </w:pPr>
      <w:r>
        <w:rPr>
          <w:rFonts w:ascii="Times New Roman" w:eastAsia="Times New Roman" w:hAnsi="Times New Roman" w:cs="Times New Roman"/>
          <w:color w:val="1A1A1A"/>
          <w:sz w:val="24"/>
          <w:szCs w:val="24"/>
        </w:rPr>
        <w:t xml:space="preserve">Participants are required to build a web-based or API-based tool that </w:t>
      </w:r>
      <w:r>
        <w:rPr>
          <w:rFonts w:ascii="Times New Roman" w:eastAsia="Times New Roman" w:hAnsi="Times New Roman" w:cs="Times New Roman"/>
          <w:sz w:val="24"/>
          <w:szCs w:val="24"/>
        </w:rPr>
        <w:t>detect and classify Personally Identifiable Information (PII) or Protected Health Information (PHI) in both structured and unstructured data using a hybrid rule-based and NLP approach for contextualised anonymization.</w:t>
      </w:r>
    </w:p>
    <w:p w:rsidR="004A5BFD" w:rsidRDefault="00000000">
      <w:pPr>
        <w:spacing w:before="260" w:after="120"/>
        <w:ind w:right="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Implement a two-step process: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u w:val="single"/>
        </w:rPr>
        <w:t>de-identification</w:t>
      </w:r>
      <w:r>
        <w:rPr>
          <w:rFonts w:ascii="Times New Roman" w:eastAsia="Times New Roman" w:hAnsi="Times New Roman" w:cs="Times New Roman"/>
          <w:sz w:val="24"/>
          <w:szCs w:val="24"/>
        </w:rPr>
        <w:t xml:space="preserve"> (Pseudonymization), replace identifiers with secure tokens and </w:t>
      </w:r>
      <w:r>
        <w:rPr>
          <w:rFonts w:ascii="Times New Roman" w:eastAsia="Times New Roman" w:hAnsi="Times New Roman" w:cs="Times New Roman"/>
          <w:sz w:val="24"/>
          <w:szCs w:val="24"/>
          <w:u w:val="single"/>
        </w:rPr>
        <w:t>irreversible anonymization</w:t>
      </w:r>
      <w:r>
        <w:rPr>
          <w:rFonts w:ascii="Times New Roman" w:eastAsia="Times New Roman" w:hAnsi="Times New Roman" w:cs="Times New Roman"/>
          <w:sz w:val="24"/>
          <w:szCs w:val="24"/>
        </w:rPr>
        <w:t>, generalize and normalize sensitive information, in compliance with Indian and International data protection laws and guidelines (DPDP Act 2023, NDHM, ICMR, and CDSCO guidelines) with the ability to streamline CDSCO's regulatory evaluation using AI to achieve faster, more consistent approvals and enhance public health access.</w:t>
      </w:r>
    </w:p>
    <w:p w:rsidR="004A5BFD" w:rsidRDefault="00000000">
      <w:pPr>
        <w:spacing w:before="260" w:after="120"/>
        <w:ind w:right="20"/>
        <w:jc w:val="both"/>
        <w:rPr>
          <w:rFonts w:ascii="Times New Roman" w:eastAsia="Times New Roman" w:hAnsi="Times New Roman" w:cs="Times New Roman"/>
          <w:b/>
          <w:bCs/>
          <w:color w:val="ED7D31"/>
          <w:sz w:val="24"/>
          <w:szCs w:val="24"/>
          <w:u w:val="single"/>
        </w:rPr>
      </w:pPr>
      <w:r>
        <w:rPr>
          <w:rFonts w:ascii="Times New Roman" w:eastAsia="Times New Roman" w:hAnsi="Times New Roman" w:cs="Times New Roman"/>
          <w:b/>
          <w:bCs/>
          <w:color w:val="ED7D31"/>
          <w:sz w:val="24"/>
          <w:szCs w:val="24"/>
          <w:u w:val="single"/>
        </w:rPr>
        <w:t>Illustration:</w:t>
      </w:r>
    </w:p>
    <w:p w:rsidR="004A5BFD" w:rsidRDefault="00000000">
      <w:pPr>
        <w:spacing w:after="1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example below illustrates how the tool should process a typical SAE narrative:</w:t>
      </w:r>
    </w:p>
    <w:p w:rsidR="004A5BFD" w:rsidRDefault="00000000">
      <w:pPr>
        <w:spacing w:before="260" w:after="120"/>
        <w:ind w:right="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"Patient </w:t>
      </w:r>
      <w:r>
        <w:rPr>
          <w:rFonts w:ascii="Times New Roman" w:eastAsia="Times New Roman" w:hAnsi="Times New Roman" w:cs="Times New Roman"/>
          <w:i/>
          <w:iCs/>
          <w:sz w:val="24"/>
          <w:szCs w:val="24"/>
          <w:u w:val="single"/>
        </w:rPr>
        <w:t>Sunita Devi</w:t>
      </w:r>
      <w:r>
        <w:rPr>
          <w:rFonts w:ascii="Times New Roman" w:eastAsia="Times New Roman" w:hAnsi="Times New Roman" w:cs="Times New Roman"/>
          <w:i/>
          <w:iCs/>
          <w:sz w:val="24"/>
          <w:szCs w:val="24"/>
        </w:rPr>
        <w:t xml:space="preserve">, Aadhar </w:t>
      </w:r>
      <w:r>
        <w:rPr>
          <w:rFonts w:ascii="Times New Roman" w:eastAsia="Times New Roman" w:hAnsi="Times New Roman" w:cs="Times New Roman"/>
          <w:i/>
          <w:iCs/>
          <w:sz w:val="24"/>
          <w:szCs w:val="24"/>
          <w:u w:val="single"/>
        </w:rPr>
        <w:t>9876-5432-1012</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u w:val="single"/>
        </w:rPr>
        <w:t>38F</w:t>
      </w:r>
      <w:r>
        <w:rPr>
          <w:rFonts w:ascii="Times New Roman" w:eastAsia="Times New Roman" w:hAnsi="Times New Roman" w:cs="Times New Roman"/>
          <w:i/>
          <w:iCs/>
          <w:sz w:val="24"/>
          <w:szCs w:val="24"/>
        </w:rPr>
        <w:t xml:space="preserve">, diagnosed with </w:t>
      </w:r>
      <w:r>
        <w:rPr>
          <w:rFonts w:ascii="Times New Roman" w:eastAsia="Times New Roman" w:hAnsi="Times New Roman" w:cs="Times New Roman"/>
          <w:i/>
          <w:iCs/>
          <w:sz w:val="24"/>
          <w:szCs w:val="24"/>
          <w:u w:val="single"/>
        </w:rPr>
        <w:t>Type 2 Diabetes</w:t>
      </w:r>
      <w:r>
        <w:rPr>
          <w:rFonts w:ascii="Times New Roman" w:eastAsia="Times New Roman" w:hAnsi="Times New Roman" w:cs="Times New Roman"/>
          <w:i/>
          <w:iCs/>
          <w:sz w:val="24"/>
          <w:szCs w:val="24"/>
        </w:rPr>
        <w:t xml:space="preserve">, admitted to </w:t>
      </w:r>
      <w:r>
        <w:rPr>
          <w:rFonts w:ascii="Times New Roman" w:eastAsia="Times New Roman" w:hAnsi="Times New Roman" w:cs="Times New Roman"/>
          <w:i/>
          <w:iCs/>
          <w:sz w:val="24"/>
          <w:szCs w:val="24"/>
          <w:u w:val="single"/>
        </w:rPr>
        <w:t>Max Hospital</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u w:val="single"/>
        </w:rPr>
        <w:t>New Delhi</w:t>
      </w:r>
      <w:r>
        <w:rPr>
          <w:rFonts w:ascii="Times New Roman" w:eastAsia="Times New Roman" w:hAnsi="Times New Roman" w:cs="Times New Roman"/>
          <w:i/>
          <w:iCs/>
          <w:sz w:val="24"/>
          <w:szCs w:val="24"/>
        </w:rPr>
        <w:t xml:space="preserve"> on </w:t>
      </w:r>
      <w:r>
        <w:rPr>
          <w:rFonts w:ascii="Times New Roman" w:eastAsia="Times New Roman" w:hAnsi="Times New Roman" w:cs="Times New Roman"/>
          <w:i/>
          <w:iCs/>
          <w:sz w:val="24"/>
          <w:szCs w:val="24"/>
          <w:u w:val="single"/>
        </w:rPr>
        <w:t>02-Jan-2026</w:t>
      </w:r>
      <w:r>
        <w:rPr>
          <w:rFonts w:ascii="Times New Roman" w:eastAsia="Times New Roman" w:hAnsi="Times New Roman" w:cs="Times New Roman"/>
          <w:i/>
          <w:iCs/>
          <w:sz w:val="24"/>
          <w:szCs w:val="24"/>
        </w:rPr>
        <w:t xml:space="preserve"> following </w:t>
      </w:r>
      <w:r>
        <w:rPr>
          <w:rFonts w:ascii="Times New Roman" w:eastAsia="Times New Roman" w:hAnsi="Times New Roman" w:cs="Times New Roman"/>
          <w:i/>
          <w:iCs/>
          <w:sz w:val="24"/>
          <w:szCs w:val="24"/>
          <w:u w:val="single"/>
        </w:rPr>
        <w:t>severe allergic reaction</w:t>
      </w:r>
      <w:r>
        <w:rPr>
          <w:rFonts w:ascii="Times New Roman" w:eastAsia="Times New Roman" w:hAnsi="Times New Roman" w:cs="Times New Roman"/>
          <w:i/>
          <w:iCs/>
          <w:sz w:val="24"/>
          <w:szCs w:val="24"/>
        </w:rPr>
        <w:t xml:space="preserve"> to trial drug. Treating </w:t>
      </w:r>
      <w:r>
        <w:rPr>
          <w:rFonts w:ascii="Times New Roman" w:eastAsia="Times New Roman" w:hAnsi="Times New Roman" w:cs="Times New Roman"/>
          <w:i/>
          <w:iCs/>
          <w:sz w:val="24"/>
          <w:szCs w:val="24"/>
          <w:u w:val="single"/>
        </w:rPr>
        <w:t xml:space="preserve">physician </w:t>
      </w:r>
      <w:proofErr w:type="spellStart"/>
      <w:r>
        <w:rPr>
          <w:rFonts w:ascii="Times New Roman" w:eastAsia="Times New Roman" w:hAnsi="Times New Roman" w:cs="Times New Roman"/>
          <w:i/>
          <w:iCs/>
          <w:sz w:val="24"/>
          <w:szCs w:val="24"/>
          <w:u w:val="single"/>
        </w:rPr>
        <w:t>Dr.</w:t>
      </w:r>
      <w:proofErr w:type="spellEnd"/>
      <w:r>
        <w:rPr>
          <w:rFonts w:ascii="Times New Roman" w:eastAsia="Times New Roman" w:hAnsi="Times New Roman" w:cs="Times New Roman"/>
          <w:i/>
          <w:iCs/>
          <w:sz w:val="24"/>
          <w:szCs w:val="24"/>
          <w:u w:val="single"/>
        </w:rPr>
        <w:t xml:space="preserve"> Rakesh Gupta</w:t>
      </w:r>
      <w:r>
        <w:rPr>
          <w:rFonts w:ascii="Times New Roman" w:eastAsia="Times New Roman" w:hAnsi="Times New Roman" w:cs="Times New Roman"/>
          <w:i/>
          <w:iCs/>
          <w:sz w:val="24"/>
          <w:szCs w:val="24"/>
        </w:rPr>
        <w:t xml:space="preserve"> reported the event. Sponsor: </w:t>
      </w:r>
      <w:r>
        <w:rPr>
          <w:rFonts w:ascii="Times New Roman" w:eastAsia="Times New Roman" w:hAnsi="Times New Roman" w:cs="Times New Roman"/>
          <w:i/>
          <w:iCs/>
          <w:sz w:val="24"/>
          <w:szCs w:val="24"/>
          <w:u w:val="single"/>
        </w:rPr>
        <w:t>ABC Pharma Pvt Ltd.</w:t>
      </w:r>
      <w:r>
        <w:rPr>
          <w:rFonts w:ascii="Times New Roman" w:eastAsia="Times New Roman" w:hAnsi="Times New Roman" w:cs="Times New Roman"/>
          <w:i/>
          <w:iCs/>
          <w:sz w:val="24"/>
          <w:szCs w:val="24"/>
        </w:rPr>
        <w:t>"</w:t>
      </w:r>
    </w:p>
    <w:p w:rsidR="004A5BFD" w:rsidRDefault="00000000">
      <w:pPr>
        <w:spacing w:before="260" w:after="120"/>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2-step process:</w:t>
      </w:r>
    </w:p>
    <w:p w:rsidR="004A5BFD" w:rsidRDefault="00000000">
      <w:pPr>
        <w:spacing w:before="260" w:after="120"/>
        <w:ind w:right="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u w:val="single"/>
        </w:rPr>
        <w:t>Output after Step 1 (De-identification):</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"SUBJ-1103, AADHAR-TOKEN-7741, AGE-SEX-TOKEN-082, diagnosed with COND-TOKEN-019, admitted to SITE-TOKEN-022 on DATE-TOKEN-A1 following severe allergic reaction to trial drug. INV-TOKEN-014 reported the event. SPONSOR-TOKEN-07."</w:t>
      </w:r>
    </w:p>
    <w:p w:rsidR="004A5BFD" w:rsidRDefault="00000000">
      <w:pPr>
        <w:spacing w:before="260" w:after="120"/>
        <w:ind w:right="20"/>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u w:val="single"/>
        </w:rPr>
        <w:t>Output after Step 2 (Irreversible Anonymization)</w:t>
      </w:r>
      <w:r>
        <w:rPr>
          <w:rFonts w:ascii="Times New Roman" w:eastAsia="Times New Roman" w:hAnsi="Times New Roman" w:cs="Times New Roman"/>
          <w:b/>
          <w:bCs/>
          <w:sz w:val="24"/>
          <w:szCs w:val="24"/>
        </w:rPr>
        <w:t>:</w:t>
      </w:r>
      <w:r>
        <w:rPr>
          <w:rFonts w:ascii="Times New Roman" w:eastAsia="Times New Roman" w:hAnsi="Times New Roman" w:cs="Times New Roman"/>
          <w:i/>
          <w:iCs/>
          <w:sz w:val="24"/>
          <w:szCs w:val="24"/>
        </w:rPr>
        <w:t xml:space="preserve"> "Patient, 35–40F, diagnosed with a metabolic condition, admitted to a hospital in North India in early 2026 following severe allergic reaction to trial drug. Treating physician reported the event. Sponsor details suppressed."</w:t>
      </w:r>
      <w:r>
        <w:rPr>
          <w:rFonts w:ascii="Times New Roman" w:eastAsia="Times New Roman" w:hAnsi="Times New Roman" w:cs="Times New Roman"/>
          <w:i/>
          <w:iCs/>
          <w:sz w:val="24"/>
          <w:szCs w:val="24"/>
        </w:rPr>
        <w:br/>
      </w:r>
    </w:p>
    <w:p w:rsidR="004A5BFD" w:rsidRDefault="00000000">
      <w:pPr>
        <w:spacing w:after="120"/>
        <w:jc w:val="both"/>
        <w:rPr>
          <w:rFonts w:ascii="Times New Roman" w:eastAsia="Times New Roman" w:hAnsi="Times New Roman" w:cs="Times New Roman"/>
          <w:b/>
          <w:bCs/>
          <w:color w:val="4472C4"/>
          <w:sz w:val="24"/>
          <w:szCs w:val="24"/>
          <w:u w:val="single"/>
        </w:rPr>
      </w:pPr>
      <w:r>
        <w:br w:type="page"/>
      </w:r>
    </w:p>
    <w:p w:rsidR="004A5BFD" w:rsidRDefault="00000000">
      <w:pPr>
        <w:spacing w:after="120"/>
        <w:jc w:val="both"/>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lastRenderedPageBreak/>
        <w:t>Use Case 2: Document Summarization</w:t>
      </w:r>
    </w:p>
    <w:p w:rsidR="004A5BFD"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Participants are required to build a system that extracts and synthesizes critical regulatory information from diverse, high-volume source documents and converts it into a precise, standardized text format for reviewer consumption. The system must handle three distinct types of source material: </w:t>
      </w:r>
    </w:p>
    <w:p w:rsidR="004A5BFD" w:rsidRDefault="00000000">
      <w:pPr>
        <w:spacing w:after="120"/>
        <w:ind w:left="1440" w:hanging="72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u w:val="single"/>
        </w:rPr>
        <w:t>I.</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u w:val="single"/>
        </w:rPr>
        <w:t>Application data corresponding to each item across multiple checklists on the SUGAM portal</w:t>
      </w:r>
    </w:p>
    <w:p w:rsidR="004A5BFD" w:rsidRDefault="00000000">
      <w:pPr>
        <w:spacing w:after="120"/>
        <w:ind w:left="1440" w:hanging="72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u w:val="single"/>
        </w:rPr>
        <w:t>II.</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u w:val="single"/>
        </w:rPr>
        <w:t>SAE case narration to facilitate efficient case-resolution workflows</w:t>
      </w:r>
    </w:p>
    <w:p w:rsidR="004A5BFD" w:rsidRDefault="00000000">
      <w:pPr>
        <w:spacing w:after="120"/>
        <w:ind w:left="1440" w:hanging="720"/>
        <w:jc w:val="both"/>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u w:val="single"/>
        </w:rPr>
        <w:t>III.</w:t>
      </w:r>
      <w:r>
        <w:rPr>
          <w:rFonts w:ascii="Times New Roman" w:eastAsia="Times New Roman" w:hAnsi="Times New Roman" w:cs="Times New Roman"/>
          <w:sz w:val="24"/>
          <w:szCs w:val="24"/>
          <w:u w:val="single"/>
        </w:rPr>
        <w:t xml:space="preserve">         </w:t>
      </w:r>
      <w:r>
        <w:rPr>
          <w:rFonts w:ascii="Times New Roman" w:eastAsia="Times New Roman" w:hAnsi="Times New Roman" w:cs="Times New Roman"/>
          <w:b/>
          <w:bCs/>
          <w:sz w:val="24"/>
          <w:szCs w:val="24"/>
          <w:u w:val="single"/>
        </w:rPr>
        <w:t xml:space="preserve">Meeting summaries to synthesize key decisions, actionable items and next steps from lengthy meeting transcripts or audio files </w:t>
      </w:r>
    </w:p>
    <w:p w:rsidR="004A5BFD" w:rsidRDefault="00000000">
      <w:pPr>
        <w:spacing w:after="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final output across all document types must be a concise, standardized text format that enables due diligence and decision-making by Reviewing Officers.</w:t>
      </w:r>
    </w:p>
    <w:p w:rsidR="004A5BFD" w:rsidRDefault="00000000">
      <w:pPr>
        <w:pStyle w:val="Heading2"/>
        <w:spacing w:before="360"/>
        <w:rPr>
          <w:rFonts w:ascii="Times New Roman" w:eastAsia="Times New Roman" w:hAnsi="Times New Roman" w:cs="Times New Roman"/>
          <w:b w:val="0"/>
          <w:bCs w:val="0"/>
          <w:color w:val="1A1A1A"/>
        </w:rPr>
      </w:pPr>
      <w:bookmarkStart w:id="0" w:name="_heading=h.3tg3vm1ebgol" w:colFirst="0" w:colLast="0"/>
      <w:bookmarkEnd w:id="0"/>
      <w:r>
        <w:rPr>
          <w:rFonts w:ascii="Times New Roman" w:eastAsia="Times New Roman" w:hAnsi="Times New Roman" w:cs="Times New Roman"/>
          <w:color w:val="ED7D31"/>
        </w:rPr>
        <w:t xml:space="preserve">Illustrative Summary Format 1: </w:t>
      </w:r>
      <w:r>
        <w:rPr>
          <w:rFonts w:ascii="Times New Roman" w:eastAsia="Times New Roman" w:hAnsi="Times New Roman" w:cs="Times New Roman"/>
          <w:b w:val="0"/>
          <w:bCs w:val="0"/>
          <w:color w:val="1A1A1A"/>
        </w:rPr>
        <w:t>Application Data - Module 3 (Quality, 3.2.P.8 - Stability)</w:t>
      </w:r>
    </w:p>
    <w:p w:rsidR="004A5BFD" w:rsidRDefault="00000000">
      <w:pPr>
        <w:spacing w:after="1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For each module-level checklist item on SUGAM, the system should produce a structured summary in the following format:</w:t>
      </w:r>
    </w:p>
    <w:p w:rsidR="004A5BFD" w:rsidRDefault="00000000">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Summary Structure:</w:t>
      </w:r>
    </w:p>
    <w:p w:rsidR="004A5BFD" w:rsidRDefault="00000000">
      <w:pPr>
        <w:spacing w:before="24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Study Design / Conditions</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Long-term, intermediate, and accelerated conditions (e.g., 25°C/60% RH, 30°C/65% RH, 40°C/75% RH)</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Photostability / stress studies (if done)</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Packaging system tested (e.g., </w:t>
      </w:r>
      <w:proofErr w:type="spellStart"/>
      <w:r>
        <w:rPr>
          <w:rFonts w:ascii="Times New Roman" w:eastAsia="Times New Roman" w:hAnsi="Times New Roman" w:cs="Times New Roman"/>
          <w:sz w:val="24"/>
          <w:szCs w:val="24"/>
        </w:rPr>
        <w:t>PVdC</w:t>
      </w:r>
      <w:proofErr w:type="spellEnd"/>
      <w:r>
        <w:rPr>
          <w:rFonts w:ascii="Times New Roman" w:eastAsia="Times New Roman" w:hAnsi="Times New Roman" w:cs="Times New Roman"/>
          <w:sz w:val="24"/>
          <w:szCs w:val="24"/>
        </w:rPr>
        <w:t>-Alu blister, HDPE bottle)</w:t>
      </w:r>
    </w:p>
    <w:p w:rsidR="004A5BFD" w:rsidRDefault="00000000">
      <w:pPr>
        <w:spacing w:before="24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Duration &amp; Sampling Points</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Time-points (0, 3, 6, 9, 12, 18, 24, 36 months)</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State whether studies are ongoing or completed</w:t>
      </w:r>
    </w:p>
    <w:p w:rsidR="004A5BFD" w:rsidRDefault="00000000">
      <w:pPr>
        <w:spacing w:before="24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Batch Information</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Number of batches on stability (pilot/commercial)</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Batch size, manufacturing scale, site</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Strengths/formulations tested (5, 10, 20 mg)</w:t>
      </w:r>
    </w:p>
    <w:p w:rsidR="004A5BFD" w:rsidRDefault="00000000">
      <w:pPr>
        <w:spacing w:before="24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Parameters Tested</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Physical appearance (colour, integrity, coating)</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Assay / potency</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Degradation products / impurities</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Dissolution</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Moisture content (if relevant)</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Microbiological attributes (if relevant)</w:t>
      </w:r>
    </w:p>
    <w:p w:rsidR="004A5BFD" w:rsidRDefault="00000000">
      <w:pPr>
        <w:spacing w:before="24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Results &amp; Interpretation</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Data trends across time and conditions</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Whether OOS/atypical results observed</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Shelf-life justified (e.g., 36 months at 25°C/60% RH)</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Recommended storage statement (e.g., "Store below 30°C, protect from light")</w:t>
      </w:r>
    </w:p>
    <w:p w:rsidR="004A5BFD" w:rsidRDefault="00000000">
      <w:pPr>
        <w:spacing w:before="240"/>
        <w:ind w:left="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 Supporting / Special Studies (if available)</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Photostability (ICH Q1B)</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In-use stability (multi-dose bottles)</w:t>
      </w:r>
    </w:p>
    <w:p w:rsidR="004A5BFD" w:rsidRDefault="00000000">
      <w:pPr>
        <w:spacing w:before="240"/>
        <w:ind w:left="21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Stress studies to establish degradation pathways</w:t>
      </w:r>
    </w:p>
    <w:p w:rsidR="004A5BFD"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Critical Requirements:</w:t>
      </w:r>
    </w:p>
    <w:p w:rsidR="004A5BFD" w:rsidRDefault="00000000">
      <w:pPr>
        <w:numPr>
          <w:ilvl w:val="0"/>
          <w:numId w:val="5"/>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all critical numerical data (storage conditions, time points, assay values, impurity levels, dissolution %, batch numbers, shelf-life duration)</w:t>
      </w:r>
    </w:p>
    <w:p w:rsidR="004A5BF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Retain all statistical data (regression analysis, confidence intervals, degradation rates)</w:t>
      </w:r>
    </w:p>
    <w:p w:rsidR="004A5BF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all regulatory compliance indicators (ICH Q1A(R2), Q1B compliance status)</w:t>
      </w:r>
    </w:p>
    <w:p w:rsidR="004A5BFD" w:rsidRDefault="00000000">
      <w:pPr>
        <w:numPr>
          <w:ilvl w:val="0"/>
          <w:numId w:val="5"/>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technical precision in terminology (use exact analytical method names, specification limits, acceptance criteria)</w:t>
      </w:r>
    </w:p>
    <w:p w:rsidR="004A5BFD" w:rsidRDefault="00000000">
      <w:pPr>
        <w:numPr>
          <w:ilvl w:val="0"/>
          <w:numId w:val="5"/>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Preserve risk assessments and justifications for storage conditions and shelf-life</w:t>
      </w:r>
    </w:p>
    <w:p w:rsidR="004A5BFD"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Regulatory Compliance Focus:</w:t>
      </w:r>
    </w:p>
    <w:p w:rsidR="004A5BFD" w:rsidRDefault="00000000">
      <w:pPr>
        <w:numPr>
          <w:ilvl w:val="0"/>
          <w:numId w:val="7"/>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Ensure alignment with ICH Q1A(R2) - Stability Testing, Q1B - Photostability, and Q1E - Evaluation of Stability Data</w:t>
      </w:r>
    </w:p>
    <w:p w:rsidR="004A5BFD"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Verify compliance with NDCT Rules for stability data</w:t>
      </w:r>
    </w:p>
    <w:p w:rsidR="004A5BFD" w:rsidRDefault="00000000">
      <w:pPr>
        <w:numPr>
          <w:ilvl w:val="0"/>
          <w:numId w:val="7"/>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Confirm adherence to WHO stability testing guidelines for tropical zones (Zone IV conditions)</w:t>
      </w:r>
    </w:p>
    <w:p w:rsidR="004A5BFD" w:rsidRDefault="00000000">
      <w:pPr>
        <w:numPr>
          <w:ilvl w:val="0"/>
          <w:numId w:val="7"/>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Include statistical evaluation methods as per regulatory expectations</w:t>
      </w:r>
    </w:p>
    <w:p w:rsidR="004A5BFD"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Language and Style Requirements:</w:t>
      </w:r>
    </w:p>
    <w:p w:rsidR="004A5BFD" w:rsidRDefault="00000000">
      <w:pPr>
        <w:numPr>
          <w:ilvl w:val="0"/>
          <w:numId w:val="2"/>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Use clear, factual, regulator-ready language (avoid speculative or promotional terms)</w:t>
      </w:r>
    </w:p>
    <w:p w:rsidR="004A5BFD"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Employ precise pharmaceutical terminology (ICH-compliant nomenclature)</w:t>
      </w:r>
    </w:p>
    <w:p w:rsidR="004A5BFD"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Present definitive conclusions with supporting data</w:t>
      </w:r>
    </w:p>
    <w:p w:rsidR="004A5BFD" w:rsidRDefault="00000000">
      <w:pPr>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Emphasize scientific rationale for decisions and recommendations</w:t>
      </w:r>
    </w:p>
    <w:p w:rsidR="004A5BFD" w:rsidRDefault="00000000">
      <w:pPr>
        <w:numPr>
          <w:ilvl w:val="0"/>
          <w:numId w:val="2"/>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Exclude procedural descriptions unless they impact product quality or regulatory compliance</w:t>
      </w:r>
    </w:p>
    <w:p w:rsidR="004A5BFD" w:rsidRDefault="00000000">
      <w:pPr>
        <w:spacing w:before="240" w:after="24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Quality Standards:</w:t>
      </w:r>
    </w:p>
    <w:p w:rsidR="004A5BFD" w:rsidRDefault="00000000">
      <w:pPr>
        <w:numPr>
          <w:ilvl w:val="0"/>
          <w:numId w:val="4"/>
        </w:numPr>
        <w:spacing w:before="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Technical Accuracy: All numerical values, units, and specifications must be exact</w:t>
      </w:r>
    </w:p>
    <w:p w:rsidR="004A5BFD"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Completeness: Each of the 6 sections must be populated with relevant data</w:t>
      </w:r>
    </w:p>
    <w:p w:rsidR="004A5BFD"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Regulatory Readiness: Summary must be suitable for direct inclusion in CDSCO dossier</w:t>
      </w:r>
    </w:p>
    <w:p w:rsidR="004A5BFD" w:rsidRDefault="00000000">
      <w:pPr>
        <w:numPr>
          <w:ilvl w:val="0"/>
          <w:numId w:val="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Scientific Integrity: Conclusions must be supported by presented data</w:t>
      </w:r>
    </w:p>
    <w:p w:rsidR="004A5BFD" w:rsidRDefault="00000000">
      <w:pPr>
        <w:numPr>
          <w:ilvl w:val="0"/>
          <w:numId w:val="4"/>
        </w:numPr>
        <w:spacing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Communication: Clearly identify any stability risks or limitations</w:t>
      </w:r>
    </w:p>
    <w:p w:rsidR="004A5BFD" w:rsidRDefault="00000000">
      <w:pPr>
        <w:spacing w:before="240" w:after="240"/>
        <w:jc w:val="both"/>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color w:val="ED7D31"/>
          <w:sz w:val="24"/>
          <w:szCs w:val="24"/>
        </w:rPr>
        <w:t xml:space="preserve">Illustrative Summary Format 2: </w:t>
      </w:r>
      <w:r>
        <w:rPr>
          <w:rFonts w:ascii="Times New Roman" w:eastAsia="Times New Roman" w:hAnsi="Times New Roman" w:cs="Times New Roman"/>
          <w:color w:val="1A1A1A"/>
          <w:sz w:val="24"/>
          <w:szCs w:val="24"/>
        </w:rPr>
        <w:t>SAE Case Narration</w:t>
      </w:r>
    </w:p>
    <w:p w:rsidR="004A5BFD" w:rsidRDefault="00000000">
      <w:pPr>
        <w:spacing w:after="1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SAE case narration summary format is as given in the CDSCO SAE Case Narrative template:</w:t>
      </w:r>
    </w:p>
    <w:p w:rsidR="004A5BFD" w:rsidRDefault="00000000">
      <w:pPr>
        <w:spacing w:after="120"/>
        <w:ind w:left="720"/>
        <w:jc w:val="center"/>
        <w:rPr>
          <w:rFonts w:ascii="Times New Roman" w:eastAsia="Times New Roman" w:hAnsi="Times New Roman" w:cs="Times New Roman"/>
          <w:color w:val="1A1A1A"/>
          <w:sz w:val="24"/>
          <w:szCs w:val="24"/>
        </w:rPr>
      </w:pPr>
      <w:r>
        <w:rPr>
          <w:rFonts w:ascii="Times New Roman" w:eastAsia="Times New Roman" w:hAnsi="Times New Roman" w:cs="Times New Roman"/>
          <w:noProof/>
          <w:color w:val="1A1A1A"/>
          <w:sz w:val="24"/>
          <w:szCs w:val="24"/>
        </w:rPr>
        <w:drawing>
          <wp:inline distT="114300" distB="114300" distL="114300" distR="114300">
            <wp:extent cx="3556000" cy="48260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a:stretch>
                      <a:fillRect/>
                    </a:stretch>
                  </pic:blipFill>
                  <pic:spPr>
                    <a:xfrm>
                      <a:off x="0" y="0"/>
                      <a:ext cx="3556000" cy="4826000"/>
                    </a:xfrm>
                    <a:prstGeom prst="rect">
                      <a:avLst/>
                    </a:prstGeom>
                    <a:ln/>
                  </pic:spPr>
                </pic:pic>
              </a:graphicData>
            </a:graphic>
          </wp:inline>
        </w:drawing>
      </w:r>
    </w:p>
    <w:p w:rsidR="004A5BFD" w:rsidRDefault="00000000">
      <w:pPr>
        <w:spacing w:after="120"/>
        <w:ind w:left="720"/>
        <w:jc w:val="center"/>
        <w:rPr>
          <w:rFonts w:ascii="Times New Roman" w:eastAsia="Times New Roman" w:hAnsi="Times New Roman" w:cs="Times New Roman"/>
          <w:color w:val="1A1A1A"/>
          <w:sz w:val="24"/>
          <w:szCs w:val="24"/>
        </w:rPr>
      </w:pPr>
      <w:r>
        <w:rPr>
          <w:rFonts w:ascii="Times New Roman" w:eastAsia="Times New Roman" w:hAnsi="Times New Roman" w:cs="Times New Roman"/>
          <w:noProof/>
          <w:color w:val="1A1A1A"/>
          <w:sz w:val="24"/>
          <w:szCs w:val="24"/>
        </w:rPr>
        <w:lastRenderedPageBreak/>
        <w:drawing>
          <wp:inline distT="114300" distB="114300" distL="114300" distR="114300">
            <wp:extent cx="3556000" cy="35433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3556000" cy="3543300"/>
                    </a:xfrm>
                    <a:prstGeom prst="rect">
                      <a:avLst/>
                    </a:prstGeom>
                    <a:ln/>
                  </pic:spPr>
                </pic:pic>
              </a:graphicData>
            </a:graphic>
          </wp:inline>
        </w:drawing>
      </w:r>
    </w:p>
    <w:p w:rsidR="004A5BFD" w:rsidRDefault="00000000">
      <w:pPr>
        <w:spacing w:after="120"/>
        <w:ind w:left="72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pStyle w:val="Heading2"/>
        <w:spacing w:before="360"/>
        <w:rPr>
          <w:rFonts w:ascii="Times New Roman" w:eastAsia="Times New Roman" w:hAnsi="Times New Roman" w:cs="Times New Roman"/>
          <w:b w:val="0"/>
          <w:bCs w:val="0"/>
          <w:color w:val="1A1A1A"/>
        </w:rPr>
      </w:pPr>
      <w:bookmarkStart w:id="1" w:name="_heading=h.qyuxpduv5gyx" w:colFirst="0" w:colLast="0"/>
      <w:bookmarkEnd w:id="1"/>
      <w:r>
        <w:rPr>
          <w:rFonts w:ascii="Times New Roman" w:eastAsia="Times New Roman" w:hAnsi="Times New Roman" w:cs="Times New Roman"/>
          <w:color w:val="ED7D31"/>
        </w:rPr>
        <w:t xml:space="preserve">Illustrative Summary Format 3: </w:t>
      </w:r>
      <w:r>
        <w:rPr>
          <w:rFonts w:ascii="Times New Roman" w:eastAsia="Times New Roman" w:hAnsi="Times New Roman" w:cs="Times New Roman"/>
          <w:b w:val="0"/>
          <w:bCs w:val="0"/>
          <w:color w:val="1A1A1A"/>
        </w:rPr>
        <w:t>SEC Meeting Summary</w:t>
      </w:r>
    </w:p>
    <w:p w:rsidR="004A5BFD" w:rsidRDefault="00000000">
      <w:pPr>
        <w:rPr>
          <w:rFonts w:ascii="Times New Roman" w:eastAsia="Times New Roman" w:hAnsi="Times New Roman" w:cs="Times New Roman"/>
          <w:sz w:val="24"/>
          <w:szCs w:val="24"/>
        </w:rPr>
      </w:pPr>
      <w:r>
        <w:rPr>
          <w:rFonts w:ascii="Times New Roman" w:eastAsia="Times New Roman" w:hAnsi="Times New Roman" w:cs="Times New Roman"/>
          <w:color w:val="1A1A1A"/>
          <w:sz w:val="24"/>
          <w:szCs w:val="24"/>
        </w:rPr>
        <w:br/>
      </w:r>
      <w:r>
        <w:rPr>
          <w:rFonts w:ascii="Times New Roman" w:eastAsia="Times New Roman" w:hAnsi="Times New Roman" w:cs="Times New Roman"/>
          <w:sz w:val="24"/>
          <w:szCs w:val="24"/>
        </w:rPr>
        <w:t>For meeting transcripts or audio files, the system should produce a structured summary in the following format. The format differs depending on whether the meeting concerns a Clinical Trial (CT) or Marketing Authorisation (MA) application.</w:t>
      </w:r>
    </w:p>
    <w:p w:rsidR="004A5B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CT:</w:t>
      </w:r>
    </w:p>
    <w:p w:rsidR="004A5BF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 Details about proposal: Brief description about the proposal to be discussed</w:t>
      </w:r>
    </w:p>
    <w:p w:rsidR="004A5BFD"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Application number</w:t>
      </w:r>
    </w:p>
    <w:p w:rsidR="004A5BFD"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Name of the applicant</w:t>
      </w:r>
    </w:p>
    <w:p w:rsidR="004A5BFD"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     Name of the product/ device/ vaccine</w:t>
      </w:r>
    </w:p>
    <w:p w:rsidR="004A5BFD"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    Therapeutic division</w:t>
      </w:r>
    </w:p>
    <w:p w:rsidR="004A5BFD"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    Division handling (e.g., CGT/ IND etc.)</w:t>
      </w:r>
    </w:p>
    <w:p w:rsidR="004A5BFD" w:rsidRDefault="00000000">
      <w:pPr>
        <w:ind w:left="108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f)      Product details (route of administration, strength, dosage etc.)</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Details about the deliberation: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max 200 words description on what is to be deliberated</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Objective of the study</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Details about the study protocol</w:t>
      </w:r>
    </w:p>
    <w:p w:rsidR="004A5BFD" w:rsidRDefault="00000000">
      <w:pPr>
        <w:ind w:left="2520" w:hanging="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Number of participants</w:t>
      </w:r>
    </w:p>
    <w:p w:rsidR="004A5BFD" w:rsidRDefault="00000000">
      <w:pPr>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              Inclusion and exclusion criteria</w:t>
      </w:r>
    </w:p>
    <w:p w:rsidR="004A5BFD" w:rsidRDefault="00000000">
      <w:pPr>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iii)            Number of sites</w:t>
      </w:r>
    </w:p>
    <w:p w:rsidR="004A5BFD" w:rsidRDefault="00000000">
      <w:pPr>
        <w:ind w:left="2520" w:hanging="720"/>
        <w:rPr>
          <w:rFonts w:ascii="Times New Roman" w:eastAsia="Times New Roman" w:hAnsi="Times New Roman" w:cs="Times New Roman"/>
          <w:sz w:val="24"/>
          <w:szCs w:val="24"/>
        </w:rPr>
      </w:pPr>
      <w:r>
        <w:rPr>
          <w:rFonts w:ascii="Times New Roman" w:eastAsia="Times New Roman" w:hAnsi="Times New Roman" w:cs="Times New Roman"/>
          <w:sz w:val="24"/>
          <w:szCs w:val="24"/>
        </w:rPr>
        <w:t>iv)            Any regulatory precedents cited by applicant or division</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     Safety/ efficacy concerns raised, if any</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    Risk based assessment</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Reasons for CT approval / CT waiver/ CT protocol amendment - Justification for safety and efficacy </w:t>
      </w:r>
    </w:p>
    <w:p w:rsidR="004A5B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Recommendation (with conditions, if any)</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Approval or Rejection with reason</w:t>
      </w:r>
    </w:p>
    <w:p w:rsidR="004A5B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For MA:</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br/>
        <w:t>1. Details about proposal: Brief description about the proposal to be discussed</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Application number</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Name of the applicant</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     Name of the product/ device/ vaccine</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    Product details (route of administration, strength, dosage etc.)</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Details about the deliberation: </w:t>
      </w:r>
      <w:proofErr w:type="spellStart"/>
      <w:r>
        <w:rPr>
          <w:rFonts w:ascii="Times New Roman" w:eastAsia="Times New Roman" w:hAnsi="Times New Roman" w:cs="Times New Roman"/>
          <w:sz w:val="24"/>
          <w:szCs w:val="24"/>
        </w:rPr>
        <w:t>Upto</w:t>
      </w:r>
      <w:proofErr w:type="spellEnd"/>
      <w:r>
        <w:rPr>
          <w:rFonts w:ascii="Times New Roman" w:eastAsia="Times New Roman" w:hAnsi="Times New Roman" w:cs="Times New Roman"/>
          <w:sz w:val="24"/>
          <w:szCs w:val="24"/>
        </w:rPr>
        <w:t xml:space="preserve"> max 200 words description on what is to be deliberated</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Objective of the study conducted for MA</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Global approval status, if applicable</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c)     Clinical literature/ study data</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d)    Safety/efficacy concerns raised</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e)    If any comparator products were referenced or meets analysis presented</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Reasons for MA: Justification for safety and efficacy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 Recommendation (with conditions, if any)</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     Approval or Rejection with reasons and conditions</w:t>
      </w:r>
    </w:p>
    <w:p w:rsidR="004A5BFD" w:rsidRDefault="00000000">
      <w:pPr>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b)    Conditions (e.g., post-marketing surveillance, Phase IV, limited shelf-life, label change required etc.)</w:t>
      </w:r>
    </w:p>
    <w:p w:rsidR="004A5BF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spacing w:before="60" w:after="60"/>
        <w:ind w:left="560"/>
        <w:rPr>
          <w:rFonts w:ascii="Times New Roman" w:eastAsia="Times New Roman" w:hAnsi="Times New Roman" w:cs="Times New Roman"/>
          <w:sz w:val="24"/>
          <w:szCs w:val="24"/>
        </w:rPr>
      </w:pPr>
      <w:r>
        <w:br w:type="page"/>
      </w:r>
    </w:p>
    <w:p w:rsidR="004A5BFD" w:rsidRDefault="004A5BFD">
      <w:pPr>
        <w:spacing w:before="60" w:after="60"/>
        <w:ind w:left="560"/>
        <w:rPr>
          <w:rFonts w:ascii="Times New Roman" w:eastAsia="Times New Roman" w:hAnsi="Times New Roman" w:cs="Times New Roman"/>
          <w:sz w:val="24"/>
          <w:szCs w:val="24"/>
        </w:rPr>
      </w:pPr>
    </w:p>
    <w:p w:rsidR="004A5BFD" w:rsidRDefault="00000000">
      <w:pPr>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t>Use Case 3: Completeness Assessment</w:t>
      </w:r>
    </w:p>
    <w:p w:rsidR="004A5BFD" w:rsidRDefault="00000000">
      <w:pPr>
        <w:spacing w:after="120"/>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Participants are required to build a tool that verifies the completeness, consistency and accuracy of administrative sections, mandatory forms and regulatory checklists for each clinical approval application, as well as for SAE reports, with detailed flagging of missing or inconsistent fields.</w:t>
      </w:r>
    </w:p>
    <w:p w:rsidR="004A5BFD" w:rsidRDefault="00000000">
      <w:pPr>
        <w:spacing w:before="260" w:after="120"/>
        <w:ind w:right="20"/>
        <w:jc w:val="both"/>
        <w:rPr>
          <w:rFonts w:ascii="Times New Roman" w:eastAsia="Times New Roman" w:hAnsi="Times New Roman" w:cs="Times New Roman"/>
          <w:b/>
          <w:bCs/>
          <w:color w:val="ED7D31"/>
          <w:sz w:val="24"/>
          <w:szCs w:val="24"/>
          <w:u w:val="single"/>
        </w:rPr>
      </w:pPr>
      <w:r>
        <w:rPr>
          <w:rFonts w:ascii="Times New Roman" w:eastAsia="Times New Roman" w:hAnsi="Times New Roman" w:cs="Times New Roman"/>
          <w:b/>
          <w:bCs/>
          <w:color w:val="ED7D31"/>
          <w:sz w:val="24"/>
          <w:szCs w:val="24"/>
          <w:u w:val="single"/>
        </w:rPr>
        <w:t>Illustration:</w:t>
      </w:r>
    </w:p>
    <w:p w:rsidR="004A5BFD" w:rsidRDefault="00000000">
      <w:pPr>
        <w:spacing w:after="14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The checklist for Form CT-04 (Application for Grant of Permission to Conduct Clinical Trial in Form CT-06) is shown below:</w:t>
      </w:r>
    </w:p>
    <w:p w:rsidR="004A5BFD" w:rsidRDefault="00000000">
      <w:pPr>
        <w:spacing w:after="140"/>
        <w:jc w:val="center"/>
        <w:rPr>
          <w:rFonts w:ascii="Times New Roman" w:eastAsia="Times New Roman" w:hAnsi="Times New Roman" w:cs="Times New Roman"/>
          <w:color w:val="1A1A1A"/>
          <w:sz w:val="24"/>
          <w:szCs w:val="24"/>
        </w:rPr>
      </w:pPr>
      <w:r>
        <w:rPr>
          <w:rFonts w:ascii="Times New Roman" w:eastAsia="Times New Roman" w:hAnsi="Times New Roman" w:cs="Times New Roman"/>
          <w:noProof/>
          <w:color w:val="1A1A1A"/>
          <w:sz w:val="24"/>
          <w:szCs w:val="24"/>
        </w:rPr>
        <w:drawing>
          <wp:inline distT="114300" distB="114300" distL="114300" distR="114300">
            <wp:extent cx="2946400" cy="397510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2946400" cy="3975100"/>
                    </a:xfrm>
                    <a:prstGeom prst="rect">
                      <a:avLst/>
                    </a:prstGeom>
                    <a:ln/>
                  </pic:spPr>
                </pic:pic>
              </a:graphicData>
            </a:graphic>
          </wp:inline>
        </w:drawing>
      </w:r>
    </w:p>
    <w:p w:rsidR="004A5BFD" w:rsidRDefault="00000000">
      <w:pPr>
        <w:pStyle w:val="Heading2"/>
        <w:spacing w:before="360"/>
        <w:rPr>
          <w:rFonts w:ascii="Times New Roman" w:eastAsia="Times New Roman" w:hAnsi="Times New Roman" w:cs="Times New Roman"/>
          <w:b w:val="0"/>
          <w:bCs w:val="0"/>
          <w:color w:val="1A1A1A"/>
        </w:rPr>
      </w:pPr>
      <w:bookmarkStart w:id="2" w:name="_heading=h.d4obwwn9f838" w:colFirst="0" w:colLast="0"/>
      <w:bookmarkEnd w:id="2"/>
      <w:r>
        <w:rPr>
          <w:rFonts w:ascii="Times New Roman" w:eastAsia="Times New Roman" w:hAnsi="Times New Roman" w:cs="Times New Roman"/>
          <w:b w:val="0"/>
          <w:bCs w:val="0"/>
          <w:color w:val="1A1A1A"/>
        </w:rPr>
        <w:t>Example Checks:</w:t>
      </w:r>
    </w:p>
    <w:p w:rsidR="004A5BFD" w:rsidRDefault="00000000">
      <w:pPr>
        <w:spacing w:after="140"/>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For a CT-04 application, the tool should perform checks such as the following:</w:t>
      </w:r>
    </w:p>
    <w:p w:rsidR="004A5BFD"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Covering Letter (Item 1.1): Verifies that a covering letter is present</w:t>
      </w:r>
    </w:p>
    <w:p w:rsidR="004A5BFD"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 Table of Contents (Item 1.2): Verifies that the table of contents covers all 5 modules and that every document listed is actually present in the submission</w:t>
      </w:r>
    </w:p>
    <w:p w:rsidR="004A5BFD"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Treasury Challan (Item 1.3.1.4): Verifies that the fee payment proof is attached via Form 12 and Challan details are filled </w:t>
      </w:r>
    </w:p>
    <w:p w:rsidR="004A5BFD" w:rsidRDefault="00000000">
      <w:pPr>
        <w:numPr>
          <w:ilvl w:val="0"/>
          <w:numId w:val="9"/>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Clinical Trial No Objection Letter (Item 1.3.2.7): Verifies that the clinical trial no objection letter or approval is present and valid </w:t>
      </w:r>
    </w:p>
    <w:p w:rsidR="004A5BFD" w:rsidRDefault="00000000">
      <w:pPr>
        <w:numPr>
          <w:ilvl w:val="0"/>
          <w:numId w:val="9"/>
        </w:numPr>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Authorized Agent Details (Item 1.3.3): Checks that name, address, telephone, fax and email of the authorized agent in India are fully populated (mandatory for imported drug products)</w:t>
      </w:r>
    </w:p>
    <w:p w:rsidR="004A5BFD" w:rsidRDefault="00000000">
      <w:pPr>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Any missing or inconsistent field is flagged with the specific item number, the nature of the deficiency and the action required, enabling the Reviewing Officer to send a targeted query to the applicant rather than reviewing the entire dossier manually.</w:t>
      </w:r>
    </w:p>
    <w:p w:rsidR="004A5BFD" w:rsidRDefault="00000000">
      <w:pPr>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spacing w:after="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4A5BFD">
      <w:pPr>
        <w:spacing w:before="60" w:after="60"/>
        <w:ind w:left="560"/>
        <w:rPr>
          <w:rFonts w:ascii="Times New Roman" w:eastAsia="Times New Roman" w:hAnsi="Times New Roman" w:cs="Times New Roman"/>
          <w:b/>
          <w:bCs/>
          <w:sz w:val="24"/>
          <w:szCs w:val="24"/>
          <w:u w:val="single"/>
        </w:rPr>
      </w:pPr>
    </w:p>
    <w:p w:rsidR="004A5BFD" w:rsidRDefault="00000000">
      <w:pPr>
        <w:spacing w:before="140" w:after="120"/>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spacing w:before="140" w:after="120"/>
        <w:ind w:right="20"/>
        <w:jc w:val="both"/>
        <w:rPr>
          <w:rFonts w:ascii="Times New Roman" w:eastAsia="Times New Roman" w:hAnsi="Times New Roman" w:cs="Times New Roman"/>
          <w:b/>
          <w:bCs/>
          <w:color w:val="4472C4"/>
          <w:sz w:val="24"/>
          <w:szCs w:val="24"/>
          <w:u w:val="single"/>
        </w:rPr>
      </w:pPr>
      <w:r>
        <w:br w:type="page"/>
      </w:r>
    </w:p>
    <w:p w:rsidR="004A5BFD" w:rsidRDefault="00000000">
      <w:pPr>
        <w:spacing w:before="140" w:after="120"/>
        <w:ind w:right="20"/>
        <w:jc w:val="both"/>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lastRenderedPageBreak/>
        <w:t>Use Case 4: Classification Tool</w:t>
      </w:r>
    </w:p>
    <w:p w:rsidR="004A5BFD" w:rsidRDefault="00000000">
      <w:pPr>
        <w:spacing w:after="1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Participants are required to build a tool that uses AI to classify SAE cases by severity, detect duplicates and generate recommendations for officer review. The objective is to enable data-driven workload allocation and faster resolution of critical cases.</w:t>
      </w:r>
    </w:p>
    <w:p w:rsidR="004A5BFD" w:rsidRDefault="00000000">
      <w:pPr>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Classification: </w:t>
      </w:r>
      <w:r>
        <w:rPr>
          <w:rFonts w:ascii="Times New Roman" w:eastAsia="Times New Roman" w:hAnsi="Times New Roman" w:cs="Times New Roman"/>
          <w:sz w:val="24"/>
          <w:szCs w:val="24"/>
        </w:rPr>
        <w:t>Incoming SAE reports should be automatically classified into the following categories, as defined under NDCTR 2019:</w:t>
      </w:r>
    </w:p>
    <w:p w:rsidR="004A5BFD"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Death: Patient died during or following the trial</w:t>
      </w:r>
    </w:p>
    <w:p w:rsidR="004A5BFD"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Life-threatening: Adverse event that places the patient at immediate risk of death</w:t>
      </w:r>
    </w:p>
    <w:p w:rsidR="004A5BFD"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Inpatient hospitalisation: Admission to hospital as a result of the adverse event</w:t>
      </w:r>
    </w:p>
    <w:p w:rsidR="004A5BFD"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Prolonged hospitalisation: Extension of an existing hospital stay due to the adverse event</w:t>
      </w:r>
    </w:p>
    <w:p w:rsidR="004A5BFD" w:rsidRDefault="00000000">
      <w:pPr>
        <w:numPr>
          <w:ilvl w:val="0"/>
          <w:numId w:val="3"/>
        </w:numPr>
        <w:rPr>
          <w:rFonts w:ascii="Times New Roman" w:eastAsia="Times New Roman" w:hAnsi="Times New Roman" w:cs="Times New Roman"/>
          <w:sz w:val="24"/>
          <w:szCs w:val="24"/>
        </w:rPr>
      </w:pPr>
      <w:r>
        <w:rPr>
          <w:rFonts w:ascii="Times New Roman" w:eastAsia="Times New Roman" w:hAnsi="Times New Roman" w:cs="Times New Roman"/>
          <w:sz w:val="24"/>
          <w:szCs w:val="24"/>
        </w:rPr>
        <w:t>Persistent or significant disability or incapacity: Substantial disruption to the patient's ability to carry out normal life functions</w:t>
      </w:r>
    </w:p>
    <w:p w:rsidR="004A5BFD" w:rsidRDefault="00000000">
      <w:pPr>
        <w:numPr>
          <w:ilvl w:val="0"/>
          <w:numId w:val="3"/>
        </w:numPr>
        <w:spacing w:after="80"/>
        <w:rPr>
          <w:rFonts w:ascii="Times New Roman" w:eastAsia="Times New Roman" w:hAnsi="Times New Roman" w:cs="Times New Roman"/>
          <w:sz w:val="24"/>
          <w:szCs w:val="24"/>
        </w:rPr>
      </w:pPr>
      <w:r>
        <w:rPr>
          <w:rFonts w:ascii="Times New Roman" w:eastAsia="Times New Roman" w:hAnsi="Times New Roman" w:cs="Times New Roman"/>
          <w:sz w:val="24"/>
          <w:szCs w:val="24"/>
        </w:rPr>
        <w:t>Congenital anomaly or birth defect: Adverse event resulting in a structural or functional abnormality present at birth</w:t>
      </w:r>
    </w:p>
    <w:p w:rsidR="004A5BF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Cases should then be ranked in a priority queue, with the most critical cases surfacing automatically for immediate review.</w:t>
      </w:r>
    </w:p>
    <w:p w:rsidR="004A5BF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Auto Flag: </w:t>
      </w:r>
      <w:r>
        <w:rPr>
          <w:rFonts w:ascii="Times New Roman" w:eastAsia="Times New Roman" w:hAnsi="Times New Roman" w:cs="Times New Roman"/>
          <w:sz w:val="24"/>
          <w:szCs w:val="24"/>
        </w:rPr>
        <w:t>The tool should automatically flags:</w:t>
      </w:r>
    </w:p>
    <w:p w:rsidR="004A5BFD" w:rsidRDefault="00000000">
      <w:pPr>
        <w:numPr>
          <w:ilvl w:val="0"/>
          <w:numId w:val="8"/>
        </w:num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Cases requiring immediate attention based on severity</w:t>
      </w:r>
    </w:p>
    <w:p w:rsidR="004A5BFD" w:rsidRDefault="00000000">
      <w:pPr>
        <w:numPr>
          <w:ilvl w:val="0"/>
          <w:numId w:val="8"/>
        </w:num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Duplicate submissions: same event submitted multiple times across sponsors or sites</w:t>
      </w:r>
    </w:p>
    <w:p w:rsidR="004A5BFD" w:rsidRDefault="00000000">
      <w:pPr>
        <w:numPr>
          <w:ilvl w:val="0"/>
          <w:numId w:val="8"/>
        </w:num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SAE reports with missing mandatory fields</w:t>
      </w:r>
    </w:p>
    <w:p w:rsidR="004A5BFD" w:rsidRDefault="00000000">
      <w:pPr>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ind w:right="20"/>
        <w:jc w:val="both"/>
        <w:rPr>
          <w:rFonts w:ascii="Times New Roman" w:eastAsia="Times New Roman" w:hAnsi="Times New Roman" w:cs="Times New Roman"/>
          <w:color w:val="ED7D31"/>
          <w:sz w:val="24"/>
          <w:szCs w:val="24"/>
          <w:u w:val="single"/>
        </w:rPr>
      </w:pPr>
      <w:r>
        <w:rPr>
          <w:rFonts w:ascii="Times New Roman" w:eastAsia="Times New Roman" w:hAnsi="Times New Roman" w:cs="Times New Roman"/>
          <w:b/>
          <w:bCs/>
          <w:sz w:val="24"/>
          <w:szCs w:val="24"/>
        </w:rPr>
        <w:t xml:space="preserve">Recommendations: </w:t>
      </w:r>
      <w:r>
        <w:rPr>
          <w:rFonts w:ascii="Times New Roman" w:eastAsia="Times New Roman" w:hAnsi="Times New Roman" w:cs="Times New Roman"/>
          <w:sz w:val="24"/>
          <w:szCs w:val="24"/>
        </w:rPr>
        <w:t>For each classified case the tool suggests a recommended action based on severity category and case details.</w:t>
      </w:r>
    </w:p>
    <w:tbl>
      <w:tblPr>
        <w:tblStyle w:val="a"/>
        <w:tblW w:w="90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40"/>
        <w:gridCol w:w="1725"/>
        <w:gridCol w:w="1305"/>
        <w:gridCol w:w="1380"/>
        <w:gridCol w:w="3180"/>
      </w:tblGrid>
      <w:tr w:rsidR="004A5BFD">
        <w:trPr>
          <w:trHeight w:val="420"/>
        </w:trPr>
        <w:tc>
          <w:tcPr>
            <w:tcW w:w="1440" w:type="dxa"/>
            <w:tcBorders>
              <w:top w:val="single" w:sz="8" w:space="0" w:color="1D5C8A"/>
              <w:left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Case ID</w:t>
            </w:r>
          </w:p>
        </w:tc>
        <w:tc>
          <w:tcPr>
            <w:tcW w:w="1725"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Severity</w:t>
            </w:r>
          </w:p>
        </w:tc>
        <w:tc>
          <w:tcPr>
            <w:tcW w:w="1305"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Priority</w:t>
            </w:r>
          </w:p>
        </w:tc>
        <w:tc>
          <w:tcPr>
            <w:tcW w:w="1380"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Duplicate</w:t>
            </w:r>
          </w:p>
        </w:tc>
        <w:tc>
          <w:tcPr>
            <w:tcW w:w="3180"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Recommended Action</w:t>
            </w:r>
          </w:p>
        </w:tc>
      </w:tr>
      <w:tr w:rsidR="004A5BFD">
        <w:trPr>
          <w:trHeight w:val="900"/>
        </w:trPr>
        <w:tc>
          <w:tcPr>
            <w:tcW w:w="1440" w:type="dxa"/>
            <w:tcBorders>
              <w:left w:val="single" w:sz="8" w:space="0" w:color="CCCCCC"/>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SAE-2024-001</w:t>
            </w:r>
          </w:p>
        </w:tc>
        <w:tc>
          <w:tcPr>
            <w:tcW w:w="1725"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Death</w:t>
            </w:r>
          </w:p>
        </w:tc>
        <w:tc>
          <w:tcPr>
            <w:tcW w:w="1305"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Critical</w:t>
            </w:r>
          </w:p>
        </w:tc>
        <w:tc>
          <w:tcPr>
            <w:tcW w:w="138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No</w:t>
            </w:r>
          </w:p>
        </w:tc>
        <w:tc>
          <w:tcPr>
            <w:tcW w:w="318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Immediate review - request cause of death report from sponsor</w:t>
            </w:r>
          </w:p>
        </w:tc>
      </w:tr>
      <w:tr w:rsidR="004A5BFD">
        <w:trPr>
          <w:trHeight w:val="900"/>
        </w:trPr>
        <w:tc>
          <w:tcPr>
            <w:tcW w:w="1440" w:type="dxa"/>
            <w:tcBorders>
              <w:left w:val="single" w:sz="8" w:space="0" w:color="CCCCCC"/>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SAE-2024-002</w:t>
            </w:r>
          </w:p>
        </w:tc>
        <w:tc>
          <w:tcPr>
            <w:tcW w:w="1725"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Hospitalisation</w:t>
            </w:r>
          </w:p>
        </w:tc>
        <w:tc>
          <w:tcPr>
            <w:tcW w:w="1305"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High</w:t>
            </w:r>
          </w:p>
        </w:tc>
        <w:tc>
          <w:tcPr>
            <w:tcW w:w="138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Yes</w:t>
            </w:r>
          </w:p>
        </w:tc>
        <w:tc>
          <w:tcPr>
            <w:tcW w:w="318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Merge with SAE-2024-198; seek follow-up on recovery status</w:t>
            </w:r>
          </w:p>
        </w:tc>
      </w:tr>
      <w:tr w:rsidR="004A5BFD">
        <w:trPr>
          <w:trHeight w:val="660"/>
        </w:trPr>
        <w:tc>
          <w:tcPr>
            <w:tcW w:w="1440" w:type="dxa"/>
            <w:tcBorders>
              <w:left w:val="single" w:sz="8" w:space="0" w:color="CCCCCC"/>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SAE-2024-003</w:t>
            </w:r>
          </w:p>
        </w:tc>
        <w:tc>
          <w:tcPr>
            <w:tcW w:w="1725"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Minor</w:t>
            </w:r>
          </w:p>
        </w:tc>
        <w:tc>
          <w:tcPr>
            <w:tcW w:w="1305"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Low</w:t>
            </w:r>
          </w:p>
        </w:tc>
        <w:tc>
          <w:tcPr>
            <w:tcW w:w="138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No</w:t>
            </w:r>
          </w:p>
        </w:tc>
        <w:tc>
          <w:tcPr>
            <w:tcW w:w="318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Standard review queue</w:t>
            </w:r>
          </w:p>
        </w:tc>
      </w:tr>
    </w:tbl>
    <w:p w:rsidR="004A5BF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spacing w:before="60" w:after="60"/>
        <w:ind w:left="560"/>
        <w:rPr>
          <w:rFonts w:ascii="Times New Roman" w:eastAsia="Times New Roman" w:hAnsi="Times New Roman" w:cs="Times New Roman"/>
          <w:sz w:val="24"/>
          <w:szCs w:val="24"/>
        </w:rPr>
      </w:pPr>
      <w:r>
        <w:br w:type="page"/>
      </w:r>
    </w:p>
    <w:p w:rsidR="004A5BFD" w:rsidRDefault="00000000">
      <w:pPr>
        <w:spacing w:before="140" w:after="120"/>
        <w:ind w:right="20"/>
        <w:jc w:val="both"/>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lastRenderedPageBreak/>
        <w:t>Use Case 5: Document Comparison</w:t>
      </w:r>
    </w:p>
    <w:p w:rsidR="004A5BFD" w:rsidRDefault="00000000">
      <w:pPr>
        <w:spacing w:after="120"/>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Participants are required to build a tool that identifies and highlights substantive and specific changes between different versions of an applicant's filing, producing a visualization or report detailing significant changes in text, data or tables across document versions.</w:t>
      </w:r>
    </w:p>
    <w:p w:rsidR="004A5BFD" w:rsidRDefault="00000000">
      <w:p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It distinguishes between:</w:t>
      </w:r>
    </w:p>
    <w:p w:rsidR="004A5BFD" w:rsidRDefault="00000000">
      <w:pPr>
        <w:numPr>
          <w:ilvl w:val="0"/>
          <w:numId w:val="6"/>
        </w:numPr>
        <w:ind w:right="20"/>
        <w:jc w:val="both"/>
        <w:rPr>
          <w:rFonts w:ascii="Calibri" w:eastAsia="Calibri" w:hAnsi="Calibri" w:cs="Calibri"/>
          <w:sz w:val="24"/>
          <w:szCs w:val="24"/>
        </w:rPr>
      </w:pPr>
      <w:r>
        <w:rPr>
          <w:rFonts w:ascii="Times New Roman" w:eastAsia="Times New Roman" w:hAnsi="Times New Roman" w:cs="Times New Roman"/>
          <w:b/>
          <w:bCs/>
          <w:sz w:val="24"/>
          <w:szCs w:val="24"/>
        </w:rPr>
        <w:t>Minor changes</w:t>
      </w:r>
      <w:r>
        <w:rPr>
          <w:rFonts w:ascii="Times New Roman" w:eastAsia="Times New Roman" w:hAnsi="Times New Roman" w:cs="Times New Roman"/>
          <w:sz w:val="24"/>
          <w:szCs w:val="24"/>
        </w:rPr>
        <w:t xml:space="preserve"> like formatting, typos, rephrasing with no regulatory significance</w:t>
      </w:r>
    </w:p>
    <w:p w:rsidR="004A5BFD" w:rsidRDefault="00000000">
      <w:pPr>
        <w:numPr>
          <w:ilvl w:val="0"/>
          <w:numId w:val="6"/>
        </w:numPr>
        <w:ind w:right="20"/>
        <w:jc w:val="both"/>
        <w:rPr>
          <w:rFonts w:ascii="Calibri" w:eastAsia="Calibri" w:hAnsi="Calibri" w:cs="Calibri"/>
          <w:sz w:val="24"/>
          <w:szCs w:val="24"/>
        </w:rPr>
      </w:pPr>
      <w:r>
        <w:rPr>
          <w:rFonts w:ascii="Times New Roman" w:eastAsia="Times New Roman" w:hAnsi="Times New Roman" w:cs="Times New Roman"/>
          <w:b/>
          <w:bCs/>
          <w:sz w:val="24"/>
          <w:szCs w:val="24"/>
        </w:rPr>
        <w:t>Substantive changes</w:t>
      </w:r>
      <w:r>
        <w:rPr>
          <w:rFonts w:ascii="Times New Roman" w:eastAsia="Times New Roman" w:hAnsi="Times New Roman" w:cs="Times New Roman"/>
          <w:sz w:val="24"/>
          <w:szCs w:val="24"/>
        </w:rPr>
        <w:t xml:space="preserve"> like changes that affect safety, efficacy or quality claims</w:t>
      </w:r>
    </w:p>
    <w:p w:rsidR="004A5BFD" w:rsidRDefault="00000000">
      <w:pPr>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spacing w:before="260" w:after="120"/>
        <w:ind w:right="20"/>
        <w:jc w:val="both"/>
        <w:rPr>
          <w:rFonts w:ascii="Times New Roman" w:eastAsia="Times New Roman" w:hAnsi="Times New Roman" w:cs="Times New Roman"/>
          <w:b/>
          <w:bCs/>
          <w:color w:val="ED7D31"/>
          <w:sz w:val="24"/>
          <w:szCs w:val="24"/>
          <w:u w:val="single"/>
        </w:rPr>
      </w:pPr>
      <w:r>
        <w:rPr>
          <w:rFonts w:ascii="Times New Roman" w:eastAsia="Times New Roman" w:hAnsi="Times New Roman" w:cs="Times New Roman"/>
          <w:b/>
          <w:bCs/>
          <w:color w:val="ED7D31"/>
          <w:sz w:val="24"/>
          <w:szCs w:val="24"/>
          <w:u w:val="single"/>
        </w:rPr>
        <w:t>Illustration:</w:t>
      </w:r>
    </w:p>
    <w:p w:rsidR="004A5BFD" w:rsidRDefault="00000000">
      <w:pPr>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rsidR="004A5BFD" w:rsidRDefault="00000000">
      <w:pPr>
        <w:ind w:right="2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Version 1:</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recommended dose of Compound-X is 10mg once daily for adult patients above 18 years."</w:t>
      </w:r>
    </w:p>
    <w:p w:rsidR="004A5BFD" w:rsidRDefault="00000000">
      <w:pPr>
        <w:ind w:right="20"/>
        <w:jc w:val="both"/>
        <w:rPr>
          <w:rFonts w:ascii="Times New Roman" w:eastAsia="Times New Roman" w:hAnsi="Times New Roman" w:cs="Times New Roman"/>
          <w:i/>
          <w:iCs/>
          <w:sz w:val="24"/>
          <w:szCs w:val="24"/>
        </w:rPr>
      </w:pPr>
      <w:r>
        <w:rPr>
          <w:rFonts w:ascii="Times New Roman" w:eastAsia="Times New Roman" w:hAnsi="Times New Roman" w:cs="Times New Roman"/>
          <w:b/>
          <w:bCs/>
          <w:sz w:val="24"/>
          <w:szCs w:val="24"/>
        </w:rPr>
        <w:t>Version 2:</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"The recommended dose of Compound-X is 20mg once daily for patients above 12 years."</w:t>
      </w:r>
    </w:p>
    <w:p w:rsidR="004A5BFD" w:rsidRDefault="00000000">
      <w:pPr>
        <w:ind w:right="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Changes detected:</w:t>
      </w:r>
    </w:p>
    <w:p w:rsidR="004A5BFD" w:rsidRDefault="00000000">
      <w:pPr>
        <w:numPr>
          <w:ilvl w:val="0"/>
          <w:numId w:val="1"/>
        </w:num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Dose: 10mg to 20mg </w:t>
      </w:r>
      <w:r>
        <w:rPr>
          <w:rFonts w:ascii="Times New Roman" w:eastAsia="Times New Roman" w:hAnsi="Times New Roman" w:cs="Times New Roman"/>
          <w:i/>
          <w:iCs/>
          <w:sz w:val="24"/>
          <w:szCs w:val="24"/>
        </w:rPr>
        <w:t>(substantive)</w:t>
      </w:r>
    </w:p>
    <w:p w:rsidR="004A5BFD" w:rsidRDefault="00000000">
      <w:pPr>
        <w:numPr>
          <w:ilvl w:val="0"/>
          <w:numId w:val="1"/>
        </w:numPr>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group: above 18 to above 12 </w:t>
      </w:r>
      <w:r>
        <w:rPr>
          <w:rFonts w:ascii="Times New Roman" w:eastAsia="Times New Roman" w:hAnsi="Times New Roman" w:cs="Times New Roman"/>
          <w:i/>
          <w:iCs/>
          <w:sz w:val="24"/>
          <w:szCs w:val="24"/>
        </w:rPr>
        <w:t>(substantive)</w:t>
      </w:r>
    </w:p>
    <w:p w:rsidR="004A5BFD" w:rsidRDefault="00000000">
      <w:pPr>
        <w:ind w:right="20"/>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rsidR="004A5BFD" w:rsidRDefault="00000000">
      <w:pPr>
        <w:pStyle w:val="Heading2"/>
        <w:spacing w:before="360"/>
        <w:rPr>
          <w:rFonts w:ascii="Times New Roman" w:eastAsia="Times New Roman" w:hAnsi="Times New Roman" w:cs="Times New Roman"/>
          <w:color w:val="ED7D31"/>
          <w:u w:val="single"/>
        </w:rPr>
      </w:pPr>
      <w:bookmarkStart w:id="3" w:name="_heading=h.oi6dw1kjtets" w:colFirst="0" w:colLast="0"/>
      <w:bookmarkEnd w:id="3"/>
      <w:r>
        <w:rPr>
          <w:rFonts w:ascii="Times New Roman" w:eastAsia="Times New Roman" w:hAnsi="Times New Roman" w:cs="Times New Roman"/>
          <w:color w:val="ED7D31"/>
          <w:u w:val="single"/>
        </w:rPr>
        <w:t>Output Format (Illustrative)</w:t>
      </w:r>
    </w:p>
    <w:tbl>
      <w:tblPr>
        <w:tblStyle w:val="a0"/>
        <w:tblW w:w="898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25"/>
        <w:gridCol w:w="1920"/>
        <w:gridCol w:w="2520"/>
        <w:gridCol w:w="2520"/>
      </w:tblGrid>
      <w:tr w:rsidR="004A5BFD">
        <w:trPr>
          <w:trHeight w:val="420"/>
        </w:trPr>
        <w:tc>
          <w:tcPr>
            <w:tcW w:w="2025" w:type="dxa"/>
            <w:tcBorders>
              <w:top w:val="single" w:sz="8" w:space="0" w:color="1D5C8A"/>
              <w:left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Section</w:t>
            </w:r>
          </w:p>
        </w:tc>
        <w:tc>
          <w:tcPr>
            <w:tcW w:w="1920"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Change Type</w:t>
            </w:r>
          </w:p>
        </w:tc>
        <w:tc>
          <w:tcPr>
            <w:tcW w:w="2520"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Version 1</w:t>
            </w:r>
          </w:p>
        </w:tc>
        <w:tc>
          <w:tcPr>
            <w:tcW w:w="2520" w:type="dxa"/>
            <w:tcBorders>
              <w:top w:val="single" w:sz="8" w:space="0" w:color="1D5C8A"/>
              <w:bottom w:val="single" w:sz="8" w:space="0" w:color="1D5C8A"/>
              <w:right w:val="single" w:sz="8" w:space="0" w:color="1D5C8A"/>
            </w:tcBorders>
            <w:shd w:val="clear" w:color="auto" w:fill="1D5C8A"/>
            <w:tcMar>
              <w:top w:w="80" w:type="dxa"/>
              <w:left w:w="120" w:type="dxa"/>
              <w:bottom w:w="80" w:type="dxa"/>
              <w:right w:w="120" w:type="dxa"/>
            </w:tcMar>
          </w:tcPr>
          <w:p w:rsidR="004A5BFD" w:rsidRDefault="00000000">
            <w:pPr>
              <w:rPr>
                <w:rFonts w:ascii="Times New Roman" w:eastAsia="Times New Roman" w:hAnsi="Times New Roman" w:cs="Times New Roman"/>
                <w:b/>
                <w:bCs/>
                <w:color w:val="FFFFFF"/>
                <w:sz w:val="24"/>
                <w:szCs w:val="24"/>
              </w:rPr>
            </w:pPr>
            <w:r>
              <w:rPr>
                <w:rFonts w:ascii="Times New Roman" w:eastAsia="Times New Roman" w:hAnsi="Times New Roman" w:cs="Times New Roman"/>
                <w:b/>
                <w:bCs/>
                <w:color w:val="FFFFFF"/>
                <w:sz w:val="24"/>
                <w:szCs w:val="24"/>
              </w:rPr>
              <w:t>Version 2</w:t>
            </w:r>
          </w:p>
        </w:tc>
      </w:tr>
      <w:tr w:rsidR="004A5BFD">
        <w:trPr>
          <w:trHeight w:val="420"/>
        </w:trPr>
        <w:tc>
          <w:tcPr>
            <w:tcW w:w="2025" w:type="dxa"/>
            <w:tcBorders>
              <w:left w:val="single" w:sz="8" w:space="0" w:color="CCCCCC"/>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Dosage</w:t>
            </w:r>
          </w:p>
        </w:tc>
        <w:tc>
          <w:tcPr>
            <w:tcW w:w="192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Substantive</w:t>
            </w:r>
          </w:p>
        </w:tc>
        <w:tc>
          <w:tcPr>
            <w:tcW w:w="252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10mg once daily</w:t>
            </w:r>
          </w:p>
        </w:tc>
        <w:tc>
          <w:tcPr>
            <w:tcW w:w="252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20mg once daily</w:t>
            </w:r>
          </w:p>
        </w:tc>
      </w:tr>
      <w:tr w:rsidR="004A5BFD">
        <w:trPr>
          <w:trHeight w:val="420"/>
        </w:trPr>
        <w:tc>
          <w:tcPr>
            <w:tcW w:w="2025" w:type="dxa"/>
            <w:tcBorders>
              <w:left w:val="single" w:sz="8" w:space="0" w:color="CCCCCC"/>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Age group</w:t>
            </w:r>
          </w:p>
        </w:tc>
        <w:tc>
          <w:tcPr>
            <w:tcW w:w="192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Substantive</w:t>
            </w:r>
          </w:p>
        </w:tc>
        <w:tc>
          <w:tcPr>
            <w:tcW w:w="252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Above 18 years</w:t>
            </w:r>
          </w:p>
        </w:tc>
        <w:tc>
          <w:tcPr>
            <w:tcW w:w="2520" w:type="dxa"/>
            <w:tcBorders>
              <w:bottom w:val="single" w:sz="8" w:space="0" w:color="CCCCCC"/>
              <w:right w:val="single" w:sz="8" w:space="0" w:color="CCCCCC"/>
            </w:tcBorders>
            <w:tcMar>
              <w:top w:w="80" w:type="dxa"/>
              <w:left w:w="120" w:type="dxa"/>
              <w:bottom w:w="80" w:type="dxa"/>
              <w:right w:w="120" w:type="dxa"/>
            </w:tcMar>
          </w:tcPr>
          <w:p w:rsidR="004A5BFD" w:rsidRDefault="00000000">
            <w:pPr>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Above 12 years</w:t>
            </w:r>
          </w:p>
        </w:tc>
      </w:tr>
    </w:tbl>
    <w:p w:rsidR="004A5BFD" w:rsidRDefault="004A5BFD">
      <w:pPr>
        <w:spacing w:before="60" w:after="60"/>
        <w:ind w:left="560"/>
        <w:rPr>
          <w:rFonts w:ascii="Times New Roman" w:eastAsia="Times New Roman" w:hAnsi="Times New Roman" w:cs="Times New Roman"/>
          <w:sz w:val="24"/>
          <w:szCs w:val="24"/>
        </w:rPr>
      </w:pPr>
    </w:p>
    <w:p w:rsidR="004A5BFD" w:rsidRDefault="00000000">
      <w:pPr>
        <w:spacing w:before="140" w:after="120"/>
        <w:ind w:right="20"/>
        <w:jc w:val="both"/>
        <w:rPr>
          <w:rFonts w:ascii="Times New Roman" w:eastAsia="Times New Roman" w:hAnsi="Times New Roman" w:cs="Times New Roman"/>
          <w:b/>
          <w:bCs/>
          <w:color w:val="4472C4"/>
          <w:sz w:val="24"/>
          <w:szCs w:val="24"/>
          <w:u w:val="single"/>
        </w:rPr>
      </w:pPr>
      <w:r>
        <w:br w:type="page"/>
      </w:r>
    </w:p>
    <w:p w:rsidR="004A5BFD" w:rsidRDefault="00000000">
      <w:pPr>
        <w:spacing w:before="140" w:after="120"/>
        <w:ind w:right="20"/>
        <w:jc w:val="both"/>
        <w:rPr>
          <w:rFonts w:ascii="Times New Roman" w:eastAsia="Times New Roman" w:hAnsi="Times New Roman" w:cs="Times New Roman"/>
          <w:b/>
          <w:bCs/>
          <w:color w:val="4472C4"/>
          <w:sz w:val="24"/>
          <w:szCs w:val="24"/>
          <w:u w:val="single"/>
        </w:rPr>
      </w:pPr>
      <w:r>
        <w:rPr>
          <w:rFonts w:ascii="Times New Roman" w:eastAsia="Times New Roman" w:hAnsi="Times New Roman" w:cs="Times New Roman"/>
          <w:b/>
          <w:bCs/>
          <w:color w:val="4472C4"/>
          <w:sz w:val="24"/>
          <w:szCs w:val="24"/>
          <w:u w:val="single"/>
        </w:rPr>
        <w:lastRenderedPageBreak/>
        <w:t>Use Case 6: Inspection Report Generation</w:t>
      </w:r>
    </w:p>
    <w:p w:rsidR="004A5BFD" w:rsidRDefault="00000000">
      <w:pPr>
        <w:spacing w:after="120"/>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Participants are required to build a tool that converts unstructured and handwritten observations gathered during site inspections into standardized, formal reports conforming to CDSCO inspection templates.</w:t>
      </w:r>
    </w:p>
    <w:p w:rsidR="004A5BFD" w:rsidRDefault="00000000">
      <w:pPr>
        <w:spacing w:before="260" w:after="120"/>
        <w:ind w:right="20"/>
        <w:jc w:val="both"/>
        <w:rPr>
          <w:rFonts w:ascii="Times New Roman" w:eastAsia="Times New Roman" w:hAnsi="Times New Roman" w:cs="Times New Roman"/>
          <w:b/>
          <w:bCs/>
          <w:color w:val="ED7D31"/>
          <w:sz w:val="24"/>
          <w:szCs w:val="24"/>
          <w:u w:val="single"/>
        </w:rPr>
      </w:pPr>
      <w:r>
        <w:rPr>
          <w:rFonts w:ascii="Times New Roman" w:eastAsia="Times New Roman" w:hAnsi="Times New Roman" w:cs="Times New Roman"/>
          <w:b/>
          <w:bCs/>
          <w:color w:val="ED7D31"/>
          <w:sz w:val="24"/>
          <w:szCs w:val="24"/>
          <w:u w:val="single"/>
        </w:rPr>
        <w:t>Illustration:</w:t>
      </w:r>
    </w:p>
    <w:p w:rsidR="004A5BFD" w:rsidRDefault="00000000">
      <w:pPr>
        <w:spacing w:after="120"/>
        <w:jc w:val="both"/>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t xml:space="preserve">The CDSCO guidance document for risk-based inspections requires inspectors </w:t>
      </w:r>
      <w:r>
        <w:rPr>
          <w:rFonts w:ascii="Times New Roman" w:eastAsia="Times New Roman" w:hAnsi="Times New Roman" w:cs="Times New Roman"/>
          <w:color w:val="1A1A1A"/>
          <w:sz w:val="24"/>
          <w:szCs w:val="24"/>
        </w:rPr>
        <w:t>to record their remarks in multiple formats:</w:t>
      </w:r>
    </w:p>
    <w:p w:rsidR="004A5BFD" w:rsidRDefault="00000000">
      <w:pPr>
        <w:spacing w:before="140" w:after="120"/>
        <w:ind w:left="108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Observations table: Checklist-based with remarks and ratings per item </w:t>
      </w:r>
    </w:p>
    <w:p w:rsidR="004A5BFD" w:rsidRDefault="00000000">
      <w:pPr>
        <w:spacing w:before="140" w:after="120"/>
        <w:ind w:right="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349500" cy="11049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2349500" cy="1104900"/>
                    </a:xfrm>
                    <a:prstGeom prst="rect">
                      <a:avLst/>
                    </a:prstGeom>
                    <a:ln/>
                  </pic:spPr>
                </pic:pic>
              </a:graphicData>
            </a:graphic>
          </wp:inline>
        </w:drawing>
      </w:r>
    </w:p>
    <w:p w:rsidR="004A5BFD" w:rsidRDefault="00000000">
      <w:pPr>
        <w:ind w:left="10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List of deficiencies: categorized as Critical, Major and Others </w:t>
      </w:r>
    </w:p>
    <w:p w:rsidR="004A5BFD" w:rsidRDefault="00000000">
      <w:pPr>
        <w:spacing w:before="140" w:after="120"/>
        <w:ind w:right="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247900" cy="1206500"/>
            <wp:effectExtent l="0" t="0" r="0" b="0"/>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2247900" cy="1206500"/>
                    </a:xfrm>
                    <a:prstGeom prst="rect">
                      <a:avLst/>
                    </a:prstGeom>
                    <a:ln/>
                  </pic:spPr>
                </pic:pic>
              </a:graphicData>
            </a:graphic>
          </wp:inline>
        </w:drawing>
      </w:r>
    </w:p>
    <w:p w:rsidR="004A5BFD" w:rsidRDefault="00000000">
      <w:pPr>
        <w:spacing w:before="140" w:after="120"/>
        <w:ind w:left="1080" w:right="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Quality rating table: comparative ratings across drug categories</w:t>
      </w:r>
    </w:p>
    <w:p w:rsidR="004A5BFD" w:rsidRDefault="00000000">
      <w:pPr>
        <w:spacing w:before="140" w:after="120"/>
        <w:ind w:right="2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2349500" cy="1485900"/>
            <wp:effectExtent l="0" t="0" r="0" b="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2349500" cy="1485900"/>
                    </a:xfrm>
                    <a:prstGeom prst="rect">
                      <a:avLst/>
                    </a:prstGeom>
                    <a:ln/>
                  </pic:spPr>
                </pic:pic>
              </a:graphicData>
            </a:graphic>
          </wp:inline>
        </w:drawing>
      </w:r>
    </w:p>
    <w:p w:rsidR="004A5BF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A5BFD"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These are currently filled manually by DIs during and after site visits in handwritten notes, loose observations and informal formats, which then need to be converted into the structured templates.</w:t>
      </w:r>
    </w:p>
    <w:p w:rsidR="004A5BFD" w:rsidRDefault="00000000">
      <w:pPr>
        <w:pStyle w:val="Heading4"/>
        <w:spacing w:before="240" w:after="40"/>
        <w:jc w:val="both"/>
        <w:rPr>
          <w:rFonts w:ascii="Times New Roman" w:eastAsia="Times New Roman" w:hAnsi="Times New Roman" w:cs="Times New Roman"/>
          <w:b/>
          <w:bCs/>
          <w:i w:val="0"/>
          <w:iCs w:val="0"/>
          <w:color w:val="000000"/>
          <w:sz w:val="24"/>
          <w:szCs w:val="24"/>
          <w:u w:val="single"/>
        </w:rPr>
      </w:pPr>
      <w:bookmarkStart w:id="4" w:name="_heading=h.vsseeb94xhk3" w:colFirst="0" w:colLast="0"/>
      <w:bookmarkEnd w:id="4"/>
      <w:r>
        <w:rPr>
          <w:rFonts w:ascii="Times New Roman" w:eastAsia="Times New Roman" w:hAnsi="Times New Roman" w:cs="Times New Roman"/>
          <w:b/>
          <w:bCs/>
          <w:i w:val="0"/>
          <w:iCs w:val="0"/>
          <w:color w:val="000000"/>
          <w:sz w:val="24"/>
          <w:szCs w:val="24"/>
          <w:u w:val="single"/>
        </w:rPr>
        <w:t>Solution:</w:t>
      </w:r>
    </w:p>
    <w:p w:rsidR="004A5BFD" w:rsidRDefault="00000000">
      <w:pPr>
        <w:pStyle w:val="Heading4"/>
        <w:spacing w:before="240" w:after="40"/>
        <w:jc w:val="both"/>
        <w:rPr>
          <w:rFonts w:ascii="Times New Roman" w:eastAsia="Times New Roman" w:hAnsi="Times New Roman" w:cs="Times New Roman"/>
          <w:i w:val="0"/>
          <w:iCs w:val="0"/>
          <w:color w:val="000000"/>
          <w:sz w:val="24"/>
          <w:szCs w:val="24"/>
        </w:rPr>
      </w:pPr>
      <w:bookmarkStart w:id="5" w:name="_heading=h.efzibn4t9ta8" w:colFirst="0" w:colLast="0"/>
      <w:bookmarkEnd w:id="5"/>
      <w:r>
        <w:rPr>
          <w:rFonts w:ascii="Times New Roman" w:eastAsia="Times New Roman" w:hAnsi="Times New Roman" w:cs="Times New Roman"/>
          <w:i w:val="0"/>
          <w:iCs w:val="0"/>
          <w:color w:val="000000"/>
          <w:sz w:val="24"/>
          <w:szCs w:val="24"/>
        </w:rPr>
        <w:t>An AI-powered tool processes raw field observations and generates formal reports through the following steps:</w:t>
      </w:r>
    </w:p>
    <w:p w:rsidR="004A5BF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1: Digitize: OCR converts handwritten notes into machine-readable text</w:t>
      </w:r>
    </w:p>
    <w:p w:rsidR="004A5BF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Step 2: Extract &amp; classify: AI reads the digitized text and maps each observation to the relevant checklist item - categorizing as Critical, Major or Other</w:t>
      </w:r>
    </w:p>
    <w:p w:rsidR="004A5BFD"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Step 3: Populate template: Extracted observations are automatically populated into the standard CDSCO inspection report template fields</w:t>
      </w:r>
    </w:p>
    <w:sectPr w:rsidR="004A5BFD">
      <w:footerReference w:type="default" r:id="rId15"/>
      <w:pgSz w:w="12240" w:h="15840"/>
      <w:pgMar w:top="1080" w:right="1260" w:bottom="1080" w:left="126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3672" w:rsidRDefault="006D3672">
      <w:r>
        <w:separator/>
      </w:r>
    </w:p>
  </w:endnote>
  <w:endnote w:type="continuationSeparator" w:id="0">
    <w:p w:rsidR="006D3672" w:rsidRDefault="006D36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4043B07-8B45-B24F-8731-AD145F0C2856}"/>
    <w:embedBold r:id="rId2" w:fontKey="{F759022F-70B6-0E4A-8DDC-818613E9C3FC}"/>
    <w:embedItalic r:id="rId3" w:fontKey="{64E88492-141D-3C44-AE52-0E2D53721B0A}"/>
  </w:font>
  <w:font w:name="Arial">
    <w:panose1 w:val="020B0604020202020204"/>
    <w:charset w:val="00"/>
    <w:family w:val="swiss"/>
    <w:pitch w:val="variable"/>
    <w:sig w:usb0="E0002AFF" w:usb1="C0007843" w:usb2="00000009" w:usb3="00000000" w:csb0="000001FF" w:csb1="00000000"/>
    <w:embedRegular r:id="rId4" w:fontKey="{456211A2-7160-3B44-BE71-E25F76B2F8E0}"/>
    <w:embedBold r:id="rId5" w:fontKey="{9B9557C0-EF9F-7144-BAF8-E26EAEDEE4AF}"/>
    <w:embedItalic r:id="rId6" w:fontKey="{AF8AD79F-6B07-3946-A370-FB1186FB8392}"/>
  </w:font>
  <w:font w:name="Georgia">
    <w:panose1 w:val="02040502050405020303"/>
    <w:charset w:val="00"/>
    <w:family w:val="roman"/>
    <w:pitch w:val="variable"/>
    <w:sig w:usb0="00000287" w:usb1="00000000" w:usb2="00000000" w:usb3="00000000" w:csb0="0000009F" w:csb1="00000000"/>
    <w:embedItalic r:id="rId7" w:fontKey="{3F2ED001-06BD-7F47-9B89-7E6A6AC731A0}"/>
  </w:font>
  <w:font w:name="Calibri">
    <w:panose1 w:val="020F0502020204030204"/>
    <w:charset w:val="00"/>
    <w:family w:val="swiss"/>
    <w:pitch w:val="variable"/>
    <w:sig w:usb0="E0002AFF" w:usb1="C000247B" w:usb2="00000009" w:usb3="00000000" w:csb0="000001FF" w:csb1="00000000"/>
    <w:embedRegular r:id="rId8" w:fontKey="{3DB3C967-1163-0A4F-A2F8-7648F9F029E8}"/>
  </w:font>
  <w:font w:name="Cambria">
    <w:panose1 w:val="02040503050406030204"/>
    <w:charset w:val="00"/>
    <w:family w:val="roman"/>
    <w:pitch w:val="variable"/>
    <w:sig w:usb0="E00006FF" w:usb1="420024FF" w:usb2="02000000" w:usb3="00000000" w:csb0="0000019F" w:csb1="00000000"/>
    <w:embedRegular r:id="rId9" w:fontKey="{401BFC96-0494-F74A-9C4A-7A7EA1F295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A5BFD" w:rsidRDefault="00000000">
    <w:pPr>
      <w:jc w:val="right"/>
    </w:pPr>
    <w:r>
      <w:fldChar w:fldCharType="begin"/>
    </w:r>
    <w:r>
      <w:instrText>PAGE</w:instrText>
    </w:r>
    <w:r>
      <w:fldChar w:fldCharType="separate"/>
    </w:r>
    <w:r w:rsidR="009F2B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3672" w:rsidRDefault="006D3672">
      <w:r>
        <w:separator/>
      </w:r>
    </w:p>
  </w:footnote>
  <w:footnote w:type="continuationSeparator" w:id="0">
    <w:p w:rsidR="006D3672" w:rsidRDefault="006D36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75FDB"/>
    <w:multiLevelType w:val="multilevel"/>
    <w:tmpl w:val="30BC05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88E2868"/>
    <w:multiLevelType w:val="multilevel"/>
    <w:tmpl w:val="AC7A6FE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AB127C5"/>
    <w:multiLevelType w:val="multilevel"/>
    <w:tmpl w:val="BB0EBD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C057384"/>
    <w:multiLevelType w:val="multilevel"/>
    <w:tmpl w:val="D188D9C0"/>
    <w:lvl w:ilvl="0">
      <w:start w:val="1"/>
      <w:numFmt w:val="decimal"/>
      <w:lvlText w:val="%1."/>
      <w:lvlJc w:val="left"/>
      <w:pPr>
        <w:ind w:left="720" w:hanging="360"/>
      </w:pPr>
      <w:rPr>
        <w:rFonts w:ascii="Times New Roman" w:hAnsi="Times New Roman" w:cs="Times New Roman"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8277D0"/>
    <w:multiLevelType w:val="multilevel"/>
    <w:tmpl w:val="722A23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5294053"/>
    <w:multiLevelType w:val="multilevel"/>
    <w:tmpl w:val="CD4EC5A6"/>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09046D2"/>
    <w:multiLevelType w:val="multilevel"/>
    <w:tmpl w:val="3BC6773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1A0137D"/>
    <w:multiLevelType w:val="multilevel"/>
    <w:tmpl w:val="BFC0C7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674A50ED"/>
    <w:multiLevelType w:val="multilevel"/>
    <w:tmpl w:val="A7CA8D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7CE6838"/>
    <w:multiLevelType w:val="multilevel"/>
    <w:tmpl w:val="EE804FFE"/>
    <w:lvl w:ilvl="0">
      <w:start w:val="1"/>
      <w:numFmt w:val="bullet"/>
      <w:lvlText w:val="●"/>
      <w:lvlJc w:val="left"/>
      <w:pPr>
        <w:ind w:left="720" w:hanging="360"/>
      </w:pPr>
      <w:rPr>
        <w:b w:val="0"/>
        <w:bCs w:val="0"/>
        <w:i w:val="0"/>
        <w:iCs w:val="0"/>
        <w:smallCaps w:val="0"/>
        <w:strike w:val="0"/>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0229375">
    <w:abstractNumId w:val="5"/>
  </w:num>
  <w:num w:numId="2" w16cid:durableId="1620604617">
    <w:abstractNumId w:val="6"/>
  </w:num>
  <w:num w:numId="3" w16cid:durableId="371226116">
    <w:abstractNumId w:val="1"/>
  </w:num>
  <w:num w:numId="4" w16cid:durableId="204297163">
    <w:abstractNumId w:val="0"/>
  </w:num>
  <w:num w:numId="5" w16cid:durableId="1811508082">
    <w:abstractNumId w:val="7"/>
  </w:num>
  <w:num w:numId="6" w16cid:durableId="879780689">
    <w:abstractNumId w:val="9"/>
  </w:num>
  <w:num w:numId="7" w16cid:durableId="1722249277">
    <w:abstractNumId w:val="2"/>
  </w:num>
  <w:num w:numId="8" w16cid:durableId="574438925">
    <w:abstractNumId w:val="4"/>
  </w:num>
  <w:num w:numId="9" w16cid:durableId="1048800201">
    <w:abstractNumId w:val="8"/>
  </w:num>
  <w:num w:numId="10" w16cid:durableId="107879070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5BFD"/>
    <w:rsid w:val="00143B1C"/>
    <w:rsid w:val="00177900"/>
    <w:rsid w:val="002C2A57"/>
    <w:rsid w:val="004A5BFD"/>
    <w:rsid w:val="006D3672"/>
    <w:rsid w:val="00843D6E"/>
    <w:rsid w:val="009F2BF9"/>
    <w:rsid w:val="00CA5052"/>
    <w:rsid w:val="00D137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55A62EDB"/>
  <w15:docId w15:val="{CFC13F95-12E7-654C-90B8-025444BED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300" w:after="100"/>
      <w:outlineLvl w:val="0"/>
    </w:pPr>
    <w:rPr>
      <w:b/>
      <w:bCs/>
      <w:color w:val="000000"/>
      <w:sz w:val="28"/>
      <w:szCs w:val="28"/>
    </w:rPr>
  </w:style>
  <w:style w:type="paragraph" w:styleId="Heading2">
    <w:name w:val="heading 2"/>
    <w:basedOn w:val="Normal"/>
    <w:next w:val="Normal"/>
    <w:uiPriority w:val="9"/>
    <w:unhideWhenUsed/>
    <w:qFormat/>
    <w:pPr>
      <w:pBdr>
        <w:top w:val="nil"/>
        <w:left w:val="nil"/>
        <w:bottom w:val="nil"/>
        <w:right w:val="nil"/>
        <w:between w:val="nil"/>
      </w:pBdr>
      <w:spacing w:before="200" w:after="80"/>
      <w:outlineLvl w:val="1"/>
    </w:pPr>
    <w:rPr>
      <w:b/>
      <w:bCs/>
      <w:color w:val="000000"/>
      <w:sz w:val="24"/>
      <w:szCs w:val="24"/>
    </w:rPr>
  </w:style>
  <w:style w:type="paragraph" w:styleId="Heading3">
    <w:name w:val="heading 3"/>
    <w:basedOn w:val="Normal"/>
    <w:next w:val="Normal"/>
    <w:uiPriority w:val="9"/>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character" w:customStyle="1" w:styleId="apple-converted-space">
    <w:name w:val="apple-converted-space"/>
    <w:basedOn w:val="DefaultParagraphFont"/>
    <w:rsid w:val="00CA5052"/>
  </w:style>
  <w:style w:type="character" w:customStyle="1" w:styleId="x654383865colour">
    <w:name w:val="x_654383865colour"/>
    <w:basedOn w:val="DefaultParagraphFont"/>
    <w:rsid w:val="00CA50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indiaai.gov.in/article/fellow3.gpai-india@meity.gov.in"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Os+sbOEfElOwlxmGxk4aJXdshQ==">CgMxLjAyDmguM3RnM3ZtMWViZ29sMg5oLnF5dXhwZHV2NWd5eDIOaC5kNG9id3duOWY4MzgyDmgub2k2ZHcxa2p0ZXRzMg5oLnZzc2VlYjk0eGhrMzIOaC5lZnppYm40dDl0YTg4AHIhMWtJYWpJVDhxMmxxT0VrRl90SDE0eGk4N2FFZWNFZUEx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2513</Words>
  <Characters>14326</Characters>
  <Application>Microsoft Office Word</Application>
  <DocSecurity>0</DocSecurity>
  <Lines>119</Lines>
  <Paragraphs>33</Paragraphs>
  <ScaleCrop>false</ScaleCrop>
  <Company/>
  <LinksUpToDate>false</LinksUpToDate>
  <CharactersWithSpaces>16806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SIMRANDEEP SINGH</cp:lastModifiedBy>
  <cp:revision>11</cp:revision>
  <dcterms:created xsi:type="dcterms:W3CDTF">2026-05-05T07:26:00Z</dcterms:created>
  <dcterms:modified xsi:type="dcterms:W3CDTF">2026-05-05T10:19:00Z</dcterms:modified>
</cp:coreProperties>
</file>